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97" w:rsidRPr="00E135D1" w:rsidRDefault="00256D0A">
      <w:pPr>
        <w:rPr>
          <w:b/>
          <w:color w:val="FF0000"/>
          <w:sz w:val="24"/>
          <w:szCs w:val="24"/>
          <w:u w:val="single"/>
        </w:rPr>
      </w:pPr>
      <w:r w:rsidRPr="00E135D1">
        <w:rPr>
          <w:b/>
          <w:color w:val="FF0000"/>
          <w:sz w:val="24"/>
          <w:szCs w:val="24"/>
          <w:u w:val="single"/>
        </w:rPr>
        <w:t xml:space="preserve">Florida Building Code, Energy Conservation </w:t>
      </w:r>
    </w:p>
    <w:p w:rsidR="00E135D1" w:rsidRDefault="00E135D1" w:rsidP="00E135D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  <w:r w:rsidRPr="00E135D1">
        <w:rPr>
          <w:rFonts w:ascii="Helvetica-Bold" w:hAnsi="Helvetica-Bold" w:cs="Helvetica-Bold"/>
          <w:bCs/>
          <w:sz w:val="24"/>
          <w:szCs w:val="24"/>
          <w:u w:val="single"/>
        </w:rPr>
        <w:t xml:space="preserve">Residential Provisions </w:t>
      </w:r>
    </w:p>
    <w:p w:rsidR="00F8663C" w:rsidRDefault="00F8663C" w:rsidP="00E135D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</w:p>
    <w:p w:rsidR="00F8663C" w:rsidRDefault="00F8663C" w:rsidP="00F866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  <w:r w:rsidRPr="00F8663C">
        <w:rPr>
          <w:rFonts w:ascii="Helvetica-Bold" w:hAnsi="Helvetica-Bold" w:cs="Helvetica-Bold"/>
          <w:bCs/>
          <w:sz w:val="24"/>
          <w:szCs w:val="24"/>
          <w:u w:val="single"/>
        </w:rPr>
        <w:t>CHAPTER 2 [RE] DEFINITIONS</w:t>
      </w:r>
    </w:p>
    <w:p w:rsidR="00F8663C" w:rsidRDefault="00F8663C" w:rsidP="00F8663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</w:p>
    <w:p w:rsidR="00F8663C" w:rsidRDefault="00F8663C" w:rsidP="00F8663C">
      <w:pPr>
        <w:pStyle w:val="BodyText"/>
        <w:spacing w:before="1"/>
        <w:ind w:right="609"/>
      </w:pPr>
      <w:proofErr w:type="gramStart"/>
      <w:r>
        <w:rPr>
          <w:b/>
          <w:color w:val="FF0000"/>
          <w:u w:val="single" w:color="FF0000"/>
        </w:rPr>
        <w:t>Guest Suite.</w:t>
      </w:r>
      <w:proofErr w:type="gramEnd"/>
      <w:r>
        <w:rPr>
          <w:b/>
          <w:color w:val="FF0000"/>
          <w:u w:val="single" w:color="FF0000"/>
        </w:rPr>
        <w:t xml:space="preserve"> </w:t>
      </w:r>
      <w:r>
        <w:rPr>
          <w:color w:val="FF0000"/>
          <w:u w:val="single" w:color="FF0000"/>
        </w:rPr>
        <w:t>A bedroom or sleeping area without kitchen designated as an amenity area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for use of residents within a residential structure.</w:t>
      </w:r>
    </w:p>
    <w:p w:rsidR="00F8663C" w:rsidRPr="00E135D1" w:rsidRDefault="00F8663C" w:rsidP="00F8663C">
      <w:pPr>
        <w:spacing w:after="0" w:line="240" w:lineRule="auto"/>
        <w:rPr>
          <w:rFonts w:ascii="Arial" w:eastAsia="Calibri" w:hAnsi="Arial" w:cs="Times New Roman"/>
          <w:b/>
          <w:color w:val="FF0000"/>
          <w:sz w:val="24"/>
          <w:szCs w:val="24"/>
        </w:rPr>
      </w:pPr>
      <w:r w:rsidRPr="00E135D1">
        <w:rPr>
          <w:rFonts w:ascii="Arial" w:eastAsia="Calibri" w:hAnsi="Arial" w:cs="Times New Roman"/>
          <w:b/>
          <w:color w:val="FF0000"/>
          <w:sz w:val="24"/>
          <w:szCs w:val="24"/>
        </w:rPr>
        <w:t>EN-ER-Ch. 4/6 - Comment #1</w:t>
      </w:r>
    </w:p>
    <w:p w:rsidR="00E135D1" w:rsidRDefault="00E135D1" w:rsidP="00E135D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E135D1" w:rsidRDefault="0021440A" w:rsidP="002144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  <w:r w:rsidRPr="0021440A">
        <w:rPr>
          <w:rFonts w:ascii="Helvetica-Bold" w:hAnsi="Helvetica-Bold" w:cs="Helvetica-Bold"/>
          <w:bCs/>
          <w:sz w:val="24"/>
          <w:szCs w:val="24"/>
          <w:u w:val="single"/>
        </w:rPr>
        <w:t>CHAPTER 3 [CE] GENERAL REQUIREMENTS</w:t>
      </w:r>
    </w:p>
    <w:p w:rsidR="0021440A" w:rsidRDefault="0021440A" w:rsidP="002144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</w:p>
    <w:p w:rsidR="0021440A" w:rsidRPr="0021440A" w:rsidRDefault="0021440A" w:rsidP="0021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0"/>
          <w:szCs w:val="20"/>
        </w:rPr>
        <w:t>C304.2.1 Single materials.</w:t>
      </w:r>
      <w:proofErr w:type="gramEnd"/>
      <w:r>
        <w:rPr>
          <w:rFonts w:ascii="Times-Bold" w:hAnsi="Times-Bold" w:cs="Times-Bold"/>
          <w:b/>
          <w:bCs/>
          <w:sz w:val="20"/>
          <w:szCs w:val="20"/>
        </w:rPr>
        <w:t xml:space="preserve">  </w:t>
      </w:r>
      <w:r w:rsidRPr="0021440A">
        <w:rPr>
          <w:rFonts w:ascii="Times New Roman" w:hAnsi="Times New Roman" w:cs="Times New Roman"/>
          <w:sz w:val="24"/>
          <w:szCs w:val="24"/>
        </w:rPr>
        <w:t>If building materials R Values or thermal conductivities are determined by testing, one of the test procedures </w:t>
      </w:r>
      <w:r w:rsidRPr="00B664B1">
        <w:rPr>
          <w:rFonts w:ascii="Times New Roman" w:hAnsi="Times New Roman" w:cs="Times New Roman"/>
          <w:sz w:val="24"/>
          <w:szCs w:val="24"/>
        </w:rPr>
        <w:t>shall</w:t>
      </w:r>
      <w:r w:rsidRPr="0021440A">
        <w:rPr>
          <w:rFonts w:ascii="Times New Roman" w:hAnsi="Times New Roman" w:cs="Times New Roman"/>
          <w:sz w:val="24"/>
          <w:szCs w:val="24"/>
        </w:rPr>
        <w:t> be used:</w:t>
      </w:r>
    </w:p>
    <w:p w:rsidR="0021440A" w:rsidRPr="0021440A" w:rsidRDefault="0021440A" w:rsidP="0021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0A" w:rsidRPr="0021440A" w:rsidRDefault="0021440A" w:rsidP="0021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40A">
        <w:rPr>
          <w:rFonts w:ascii="Times New Roman" w:hAnsi="Times New Roman" w:cs="Times New Roman"/>
          <w:sz w:val="24"/>
          <w:szCs w:val="24"/>
        </w:rPr>
        <w:t>a. ASTM C177</w:t>
      </w:r>
    </w:p>
    <w:p w:rsidR="0021440A" w:rsidRPr="0021440A" w:rsidRDefault="0021440A" w:rsidP="0021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40A">
        <w:rPr>
          <w:rFonts w:ascii="Times New Roman" w:hAnsi="Times New Roman" w:cs="Times New Roman"/>
          <w:sz w:val="24"/>
          <w:szCs w:val="24"/>
        </w:rPr>
        <w:t xml:space="preserve">b. </w:t>
      </w:r>
      <w:r w:rsidRPr="0021440A">
        <w:rPr>
          <w:rFonts w:ascii="Times New Roman" w:hAnsi="Times New Roman" w:cs="Times New Roman"/>
          <w:strike/>
          <w:sz w:val="24"/>
          <w:szCs w:val="24"/>
        </w:rPr>
        <w:t>ASTM</w:t>
      </w:r>
      <w:r w:rsidRPr="0021440A">
        <w:rPr>
          <w:rFonts w:ascii="Times New Roman" w:hAnsi="Times New Roman" w:cs="Times New Roman"/>
          <w:sz w:val="24"/>
          <w:szCs w:val="24"/>
        </w:rPr>
        <w:t xml:space="preserve"> </w:t>
      </w:r>
      <w:r w:rsidRPr="0021440A">
        <w:rPr>
          <w:rFonts w:ascii="Times New Roman" w:hAnsi="Times New Roman" w:cs="Times New Roman"/>
          <w:strike/>
          <w:sz w:val="24"/>
          <w:szCs w:val="24"/>
        </w:rPr>
        <w:t>C236</w:t>
      </w:r>
      <w:r w:rsidRPr="0021440A">
        <w:rPr>
          <w:rFonts w:ascii="Times New Roman" w:hAnsi="Times New Roman" w:cs="Times New Roman"/>
          <w:sz w:val="24"/>
          <w:szCs w:val="24"/>
          <w:u w:val="single"/>
        </w:rPr>
        <w:t> ASTM C1363</w:t>
      </w:r>
    </w:p>
    <w:p w:rsidR="0021440A" w:rsidRDefault="0021440A" w:rsidP="0021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40A">
        <w:rPr>
          <w:rFonts w:ascii="Times New Roman" w:hAnsi="Times New Roman" w:cs="Times New Roman"/>
          <w:sz w:val="24"/>
          <w:szCs w:val="24"/>
        </w:rPr>
        <w:t>c. ASTM C518</w:t>
      </w:r>
    </w:p>
    <w:p w:rsidR="0021440A" w:rsidRDefault="0021440A" w:rsidP="0021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0A" w:rsidRDefault="0021440A" w:rsidP="0021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 to the remaining text.</w:t>
      </w:r>
    </w:p>
    <w:p w:rsidR="0021440A" w:rsidRPr="0021440A" w:rsidRDefault="0021440A" w:rsidP="00214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0A" w:rsidRPr="0021440A" w:rsidRDefault="0021440A" w:rsidP="0021440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(Additional comment as submitted post TAC)</w:t>
      </w:r>
    </w:p>
    <w:p w:rsidR="0021440A" w:rsidRPr="0021440A" w:rsidRDefault="0021440A" w:rsidP="00E135D1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  <w:u w:val="single"/>
        </w:rPr>
      </w:pPr>
    </w:p>
    <w:p w:rsidR="00E135D1" w:rsidRDefault="00E135D1" w:rsidP="00E135D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  <w:r w:rsidRPr="000A3B4D">
        <w:rPr>
          <w:rFonts w:ascii="Helvetica-Bold" w:hAnsi="Helvetica-Bold" w:cs="Helvetica-Bold"/>
          <w:bCs/>
          <w:sz w:val="24"/>
          <w:szCs w:val="24"/>
          <w:u w:val="single"/>
        </w:rPr>
        <w:t>CHAPTER 4 [RE] RESIDENTIAL ENERGY EFFICIENCY</w:t>
      </w:r>
    </w:p>
    <w:p w:rsidR="000A3B4D" w:rsidRDefault="000A3B4D" w:rsidP="00E135D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</w:p>
    <w:p w:rsidR="000A3B4D" w:rsidRDefault="000A3B4D" w:rsidP="000A3B4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Bold" w:hAnsi="Times-Bold" w:cs="Times-Bold"/>
          <w:b/>
          <w:bCs/>
          <w:sz w:val="20"/>
          <w:szCs w:val="20"/>
        </w:rPr>
        <w:t>R406.4 ERI-based compliance.</w:t>
      </w:r>
      <w:proofErr w:type="gramEnd"/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 xml:space="preserve">The ERI for the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rated design </w:t>
      </w:r>
      <w:r>
        <w:rPr>
          <w:rFonts w:ascii="Times-Roman" w:hAnsi="Times-Roman" w:cs="Times-Roman"/>
          <w:sz w:val="20"/>
          <w:szCs w:val="20"/>
        </w:rPr>
        <w:t>shall be determined in accordance with ANSI/RESNET/ ICC 301</w:t>
      </w:r>
      <w:r w:rsidRPr="00F8663C">
        <w:rPr>
          <w:rFonts w:ascii="Times-Roman" w:hAnsi="Times-Roman" w:cs="Times-Roman"/>
          <w:sz w:val="20"/>
          <w:szCs w:val="20"/>
        </w:rPr>
        <w:t>, including Addendum A-201</w:t>
      </w:r>
      <w:r w:rsidRPr="00F8663C">
        <w:rPr>
          <w:rFonts w:ascii="Times-Roman" w:hAnsi="Times-Roman" w:cs="Times-Roman"/>
          <w:strike/>
          <w:sz w:val="20"/>
          <w:szCs w:val="20"/>
        </w:rPr>
        <w:t>5</w:t>
      </w:r>
      <w:r w:rsidR="00F8663C">
        <w:rPr>
          <w:rFonts w:ascii="Times-Roman" w:hAnsi="Times-Roman" w:cs="Times-Roman"/>
          <w:strike/>
          <w:sz w:val="20"/>
          <w:szCs w:val="20"/>
        </w:rPr>
        <w:t xml:space="preserve"> </w:t>
      </w:r>
      <w:r w:rsidR="00F8663C" w:rsidRPr="00F8663C">
        <w:rPr>
          <w:rFonts w:ascii="Times-Roman" w:hAnsi="Times-Roman" w:cs="Times-Roman"/>
          <w:sz w:val="20"/>
          <w:szCs w:val="20"/>
          <w:u w:val="single"/>
        </w:rPr>
        <w:t>9</w:t>
      </w:r>
      <w:r w:rsidRPr="00F8663C">
        <w:rPr>
          <w:rFonts w:ascii="Times-Roman" w:hAnsi="Times-Roman" w:cs="Times-Roman"/>
          <w:sz w:val="20"/>
          <w:szCs w:val="20"/>
        </w:rPr>
        <w:t>,</w:t>
      </w:r>
      <w:r>
        <w:rPr>
          <w:rFonts w:ascii="Times-Roman" w:hAnsi="Times-Roman" w:cs="Times-Roman"/>
          <w:sz w:val="20"/>
          <w:szCs w:val="20"/>
        </w:rPr>
        <w:t xml:space="preserve"> and be shown to have an ERI less than or equal to the appropriate value listed in Table R406.4.</w:t>
      </w:r>
    </w:p>
    <w:p w:rsidR="00F8663C" w:rsidRDefault="00F8663C" w:rsidP="000A3B4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F8663C" w:rsidRPr="00F8663C" w:rsidRDefault="00F8663C" w:rsidP="00F8663C">
      <w:pPr>
        <w:spacing w:before="118" w:after="0" w:line="343" w:lineRule="auto"/>
        <w:ind w:left="720" w:right="550"/>
        <w:rPr>
          <w:rFonts w:ascii="Arial" w:eastAsia="Calibri" w:hAnsi="Arial" w:cs="Times New Roman"/>
          <w:sz w:val="24"/>
          <w:szCs w:val="20"/>
        </w:rPr>
      </w:pPr>
      <w:r w:rsidRPr="00F8663C">
        <w:rPr>
          <w:rFonts w:ascii="Arial" w:eastAsia="Calibri" w:hAnsi="Arial" w:cs="Times New Roman"/>
          <w:b/>
          <w:color w:val="FF0000"/>
          <w:sz w:val="24"/>
          <w:szCs w:val="20"/>
          <w:u w:val="single" w:color="FF0000"/>
        </w:rPr>
        <w:t xml:space="preserve">Exception: </w:t>
      </w:r>
      <w:r w:rsidRPr="00F8663C">
        <w:rPr>
          <w:rFonts w:ascii="Arial" w:eastAsia="Calibri" w:hAnsi="Arial" w:cs="Times New Roman"/>
          <w:color w:val="FF0000"/>
          <w:sz w:val="24"/>
          <w:szCs w:val="20"/>
          <w:u w:val="single" w:color="FF0000"/>
        </w:rPr>
        <w:t xml:space="preserve">ERI-based compliance shall not be used for </w:t>
      </w:r>
      <w:r w:rsidRPr="00F8663C">
        <w:rPr>
          <w:rFonts w:ascii="Arial" w:eastAsia="Calibri" w:hAnsi="Arial" w:cs="Times New Roman"/>
          <w:i/>
          <w:color w:val="FF0000"/>
          <w:sz w:val="24"/>
          <w:szCs w:val="20"/>
          <w:u w:val="single" w:color="FF0000"/>
        </w:rPr>
        <w:t xml:space="preserve">guest suites </w:t>
      </w:r>
      <w:r w:rsidRPr="00F8663C">
        <w:rPr>
          <w:rFonts w:ascii="Arial" w:eastAsia="Calibri" w:hAnsi="Arial" w:cs="Times New Roman"/>
          <w:color w:val="FF0000"/>
          <w:sz w:val="24"/>
          <w:szCs w:val="20"/>
          <w:u w:val="single" w:color="FF0000"/>
        </w:rPr>
        <w:t>without kitchens.</w:t>
      </w:r>
      <w:r w:rsidRPr="00F8663C">
        <w:rPr>
          <w:rFonts w:ascii="Arial" w:eastAsia="Calibri" w:hAnsi="Arial" w:cs="Times New Roman"/>
          <w:color w:val="FF0000"/>
          <w:sz w:val="24"/>
          <w:szCs w:val="20"/>
        </w:rPr>
        <w:t xml:space="preserve"> </w:t>
      </w:r>
      <w:r w:rsidRPr="00F8663C">
        <w:rPr>
          <w:rFonts w:ascii="Arial" w:eastAsia="Calibri" w:hAnsi="Arial" w:cs="Times New Roman"/>
          <w:sz w:val="24"/>
          <w:szCs w:val="20"/>
        </w:rPr>
        <w:t>[No other changes to section.]</w:t>
      </w:r>
    </w:p>
    <w:p w:rsidR="00F8663C" w:rsidRDefault="00F8663C" w:rsidP="000A3B4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0A3B4D" w:rsidRDefault="000A3B4D" w:rsidP="000A3B4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trike/>
          <w:color w:val="000000"/>
          <w:sz w:val="18"/>
          <w:szCs w:val="18"/>
        </w:rPr>
      </w:pPr>
    </w:p>
    <w:p w:rsidR="000A3B4D" w:rsidRDefault="000A3B4D" w:rsidP="000A3B4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TABLE </w:t>
      </w:r>
      <w:proofErr w:type="gramStart"/>
      <w:r>
        <w:rPr>
          <w:rFonts w:ascii="Helvetica-Bold" w:hAnsi="Helvetica-Bold" w:cs="Helvetica-Bold"/>
          <w:b/>
          <w:bCs/>
          <w:sz w:val="16"/>
          <w:szCs w:val="16"/>
        </w:rPr>
        <w:t>R405.5.2(</w:t>
      </w:r>
      <w:proofErr w:type="gramEnd"/>
      <w:r>
        <w:rPr>
          <w:rFonts w:ascii="Helvetica-Bold" w:hAnsi="Helvetica-Bold" w:cs="Helvetica-Bold"/>
          <w:b/>
          <w:bCs/>
          <w:sz w:val="16"/>
          <w:szCs w:val="16"/>
        </w:rPr>
        <w:t>1)</w:t>
      </w:r>
    </w:p>
    <w:p w:rsidR="000A3B4D" w:rsidRDefault="000A3B4D" w:rsidP="000A3B4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trike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SPECIFICATIONS FOR THE STANDARD REFERENCE AND PROPOSED DESIGNS</w:t>
      </w:r>
    </w:p>
    <w:p w:rsidR="000A3B4D" w:rsidRDefault="000A3B4D" w:rsidP="000A3B4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trike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A3B4D" w:rsidTr="000A3B4D">
        <w:tc>
          <w:tcPr>
            <w:tcW w:w="3192" w:type="dxa"/>
          </w:tcPr>
          <w:p w:rsidR="000A3B4D" w:rsidRDefault="000A3B4D" w:rsidP="000A3B4D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  <w:u w:val="single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Service water </w:t>
            </w: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heating</w:t>
            </w:r>
            <w:r>
              <w:rPr>
                <w:rFonts w:ascii="Times-Roman" w:hAnsi="Times-Roman" w:cs="Times-Roman"/>
                <w:sz w:val="11"/>
                <w:szCs w:val="11"/>
              </w:rPr>
              <w:t>d</w:t>
            </w:r>
            <w:proofErr w:type="spellEnd"/>
            <w:r>
              <w:rPr>
                <w:rFonts w:ascii="Times-Roman" w:hAnsi="Times-Roman" w:cs="Times-Roman"/>
                <w:sz w:val="11"/>
                <w:szCs w:val="11"/>
              </w:rPr>
              <w:t>, e, f, g</w:t>
            </w:r>
          </w:p>
        </w:tc>
        <w:tc>
          <w:tcPr>
            <w:tcW w:w="3192" w:type="dxa"/>
          </w:tcPr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000000"/>
                <w:sz w:val="18"/>
                <w:szCs w:val="18"/>
              </w:rPr>
              <w:t>Fuel type: as proposed</w:t>
            </w:r>
          </w:p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FF0000"/>
                <w:sz w:val="18"/>
                <w:szCs w:val="18"/>
              </w:rPr>
              <w:t>Use (gal/day): determined in accordance with ANSI/RESNET/ICC 301</w:t>
            </w:r>
          </w:p>
          <w:p w:rsidR="000A3B4D" w:rsidRP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trike/>
                <w:color w:val="FF0000"/>
                <w:sz w:val="18"/>
                <w:szCs w:val="18"/>
              </w:rPr>
            </w:pPr>
            <w:r w:rsidRPr="000A3B4D">
              <w:rPr>
                <w:rFonts w:ascii="Times-Roman" w:hAnsi="Times-Roman" w:cs="Times-Roman"/>
                <w:strike/>
                <w:color w:val="FF0000"/>
                <w:sz w:val="18"/>
                <w:szCs w:val="18"/>
              </w:rPr>
              <w:t>Addendum A-2015</w:t>
            </w:r>
          </w:p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FF0000"/>
                <w:sz w:val="18"/>
                <w:szCs w:val="18"/>
              </w:rPr>
              <w:t>Efficiency: in accordance with prevailing federal minimum standards</w:t>
            </w:r>
          </w:p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FF0000"/>
                <w:sz w:val="18"/>
                <w:szCs w:val="18"/>
              </w:rPr>
              <w:t>Energy consumption: determined in accordance with ANSI/RESNET/ICC 301</w:t>
            </w:r>
          </w:p>
          <w:p w:rsidR="000A3B4D" w:rsidRPr="000A3B4D" w:rsidRDefault="000A3B4D" w:rsidP="000A3B4D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  <w:u w:val="single"/>
              </w:rPr>
            </w:pPr>
            <w:r w:rsidRPr="000A3B4D">
              <w:rPr>
                <w:rFonts w:ascii="Times-Roman" w:hAnsi="Times-Roman" w:cs="Times-Roman"/>
                <w:strike/>
                <w:color w:val="FF0000"/>
                <w:sz w:val="18"/>
                <w:szCs w:val="18"/>
              </w:rPr>
              <w:t>Addendum A-2015 (EN7597)</w:t>
            </w:r>
          </w:p>
        </w:tc>
        <w:tc>
          <w:tcPr>
            <w:tcW w:w="3192" w:type="dxa"/>
          </w:tcPr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FF0000"/>
                <w:sz w:val="18"/>
                <w:szCs w:val="18"/>
              </w:rPr>
              <w:t xml:space="preserve">Fuel type: </w:t>
            </w:r>
            <w:r>
              <w:rPr>
                <w:rFonts w:ascii="Times-Roman" w:hAnsi="Times-Roman" w:cs="Times-Roman"/>
                <w:color w:val="000000"/>
                <w:sz w:val="18"/>
                <w:szCs w:val="18"/>
              </w:rPr>
              <w:t>As proposed</w:t>
            </w:r>
          </w:p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FF0000"/>
                <w:sz w:val="18"/>
                <w:szCs w:val="18"/>
              </w:rPr>
              <w:t xml:space="preserve">Use </w:t>
            </w:r>
            <w:r w:rsidR="00574B80">
              <w:rPr>
                <w:rFonts w:ascii="Times-Roman" w:hAnsi="Times-Roman" w:cs="Times-Roman"/>
                <w:color w:val="FF0000"/>
                <w:sz w:val="18"/>
                <w:szCs w:val="18"/>
              </w:rPr>
              <w:t>“</w:t>
            </w:r>
            <w:r>
              <w:rPr>
                <w:rFonts w:ascii="Times-Roman" w:hAnsi="Times-Roman" w:cs="Times-Roman"/>
                <w:color w:val="000000"/>
                <w:sz w:val="18"/>
                <w:szCs w:val="18"/>
              </w:rPr>
              <w:t>gal/day</w:t>
            </w:r>
            <w:r w:rsidR="00574B80" w:rsidRPr="00574B80">
              <w:rPr>
                <w:rFonts w:ascii="Times-Roman" w:hAnsi="Times-Roman" w:cs="Times-Roman"/>
                <w:color w:val="FF0000"/>
                <w:sz w:val="18"/>
                <w:szCs w:val="18"/>
              </w:rPr>
              <w:t>”</w:t>
            </w:r>
            <w:r>
              <w:rPr>
                <w:rFonts w:ascii="Times-Roman" w:hAnsi="Times-Roman" w:cs="Times-Roman"/>
                <w:color w:val="FF0000"/>
                <w:sz w:val="18"/>
                <w:szCs w:val="18"/>
              </w:rPr>
              <w:t>: determined in</w:t>
            </w:r>
          </w:p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FF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FF0000"/>
                <w:sz w:val="18"/>
                <w:szCs w:val="18"/>
              </w:rPr>
              <w:t>accordance with ANSI/RESNET/</w:t>
            </w:r>
          </w:p>
          <w:p w:rsidR="000A3B4D" w:rsidRP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trike/>
                <w:color w:val="FF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FF0000"/>
                <w:sz w:val="18"/>
                <w:szCs w:val="18"/>
              </w:rPr>
              <w:t xml:space="preserve">ICC 301 </w:t>
            </w:r>
            <w:r w:rsidRPr="000A3B4D">
              <w:rPr>
                <w:rFonts w:ascii="Times-Roman" w:hAnsi="Times-Roman" w:cs="Times-Roman"/>
                <w:strike/>
                <w:color w:val="FF0000"/>
                <w:sz w:val="18"/>
                <w:szCs w:val="18"/>
              </w:rPr>
              <w:t>Addendum</w:t>
            </w:r>
          </w:p>
          <w:p w:rsidR="000A3B4D" w:rsidRP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trike/>
                <w:color w:val="FF0000"/>
                <w:sz w:val="18"/>
                <w:szCs w:val="18"/>
              </w:rPr>
            </w:pPr>
            <w:r w:rsidRPr="000A3B4D">
              <w:rPr>
                <w:rFonts w:ascii="Times-Roman" w:hAnsi="Times-Roman" w:cs="Times-Roman"/>
                <w:strike/>
                <w:color w:val="FF0000"/>
                <w:sz w:val="18"/>
                <w:szCs w:val="18"/>
              </w:rPr>
              <w:t>A-2015</w:t>
            </w:r>
          </w:p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FF0000"/>
                <w:sz w:val="18"/>
                <w:szCs w:val="18"/>
              </w:rPr>
              <w:t xml:space="preserve">Efficiency: </w:t>
            </w:r>
            <w:r>
              <w:rPr>
                <w:rFonts w:ascii="Times-Roman" w:hAnsi="Times-Roman" w:cs="Times-Roman"/>
                <w:color w:val="000000"/>
                <w:sz w:val="18"/>
                <w:szCs w:val="18"/>
              </w:rPr>
              <w:t>As proposed</w:t>
            </w:r>
          </w:p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000000"/>
                <w:sz w:val="18"/>
                <w:szCs w:val="18"/>
              </w:rPr>
              <w:t>Energy consumption: determined</w:t>
            </w:r>
          </w:p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000000"/>
                <w:sz w:val="18"/>
                <w:szCs w:val="18"/>
              </w:rPr>
              <w:t>in accordance with</w:t>
            </w:r>
          </w:p>
          <w:p w:rsidR="000A3B4D" w:rsidRDefault="000A3B4D" w:rsidP="000A3B4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000000"/>
                <w:sz w:val="18"/>
                <w:szCs w:val="18"/>
              </w:rPr>
              <w:t>ANSI/RESNET/ICC 301</w:t>
            </w:r>
          </w:p>
          <w:p w:rsidR="000A3B4D" w:rsidRDefault="000A3B4D" w:rsidP="000A3B4D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  <w:u w:val="single"/>
              </w:rPr>
            </w:pPr>
            <w:r w:rsidRPr="000A3B4D">
              <w:rPr>
                <w:rFonts w:ascii="Times-Roman" w:hAnsi="Times-Roman" w:cs="Times-Roman"/>
                <w:strike/>
                <w:color w:val="000000"/>
                <w:sz w:val="18"/>
                <w:szCs w:val="18"/>
              </w:rPr>
              <w:t>Addendum A-2015</w:t>
            </w:r>
          </w:p>
        </w:tc>
      </w:tr>
    </w:tbl>
    <w:p w:rsidR="000A3B4D" w:rsidRPr="000A3B4D" w:rsidRDefault="000A3B4D" w:rsidP="000A3B4D">
      <w:pPr>
        <w:spacing w:after="0" w:line="240" w:lineRule="auto"/>
        <w:rPr>
          <w:rFonts w:ascii="Arial" w:eastAsia="Calibri" w:hAnsi="Arial" w:cs="Times New Roman"/>
        </w:rPr>
      </w:pPr>
    </w:p>
    <w:p w:rsidR="000A3B4D" w:rsidRDefault="000A3B4D" w:rsidP="000A3B4D">
      <w:pPr>
        <w:spacing w:after="0" w:line="240" w:lineRule="auto"/>
        <w:rPr>
          <w:rFonts w:ascii="Arial" w:eastAsia="Calibri" w:hAnsi="Arial" w:cs="Times New Roman"/>
          <w:color w:val="FF0000"/>
        </w:rPr>
      </w:pPr>
      <w:r w:rsidRPr="000A3B4D">
        <w:rPr>
          <w:rFonts w:ascii="Arial" w:eastAsia="Calibri" w:hAnsi="Arial" w:cs="Times New Roman"/>
          <w:color w:val="FF0000"/>
        </w:rPr>
        <w:t>EN-ER-Ch. 4/6 - Comment #1</w:t>
      </w:r>
    </w:p>
    <w:p w:rsidR="00200B0A" w:rsidRDefault="00200B0A" w:rsidP="000A3B4D">
      <w:pPr>
        <w:spacing w:after="0" w:line="240" w:lineRule="auto"/>
        <w:rPr>
          <w:rFonts w:ascii="Arial" w:eastAsia="Calibri" w:hAnsi="Arial" w:cs="Times New Roman"/>
          <w:color w:val="FF0000"/>
        </w:rPr>
      </w:pPr>
    </w:p>
    <w:p w:rsidR="00200B0A" w:rsidRDefault="00200B0A" w:rsidP="00200B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  <w:r w:rsidRPr="00E135D1">
        <w:rPr>
          <w:rFonts w:ascii="Helvetica-Bold" w:hAnsi="Helvetica-Bold" w:cs="Helvetica-Bold"/>
          <w:bCs/>
          <w:sz w:val="24"/>
          <w:szCs w:val="24"/>
          <w:u w:val="single"/>
        </w:rPr>
        <w:t>CHAPTER 6 [RE] REFERENCED STANDARDS</w:t>
      </w:r>
    </w:p>
    <w:p w:rsidR="00200B0A" w:rsidRDefault="00200B0A" w:rsidP="00200B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</w:p>
    <w:p w:rsidR="00200B0A" w:rsidRDefault="00200B0A" w:rsidP="00200B0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E135D1">
        <w:rPr>
          <w:rFonts w:ascii="Times-Bold" w:hAnsi="Times-Bold" w:cs="Times-Bold"/>
          <w:bCs/>
          <w:sz w:val="24"/>
          <w:szCs w:val="24"/>
        </w:rPr>
        <w:t>ANSI</w:t>
      </w:r>
    </w:p>
    <w:p w:rsidR="00200B0A" w:rsidRDefault="00200B0A" w:rsidP="00200B0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</w:p>
    <w:p w:rsidR="00200B0A" w:rsidRDefault="00200B0A" w:rsidP="00200B0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ANSI/RESNET/ Standard for the Calculation and Labeling of the Energy</w:t>
      </w:r>
    </w:p>
    <w:p w:rsidR="00200B0A" w:rsidRDefault="00200B0A" w:rsidP="00200B0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ICC 301—201</w:t>
      </w:r>
      <w:r w:rsidRPr="00E135D1">
        <w:rPr>
          <w:rFonts w:ascii="Times-Roman" w:hAnsi="Times-Roman" w:cs="Times-Roman"/>
          <w:strike/>
          <w:color w:val="000000"/>
          <w:sz w:val="18"/>
          <w:szCs w:val="18"/>
        </w:rPr>
        <w:t>4</w:t>
      </w:r>
      <w:r w:rsidRPr="00E135D1">
        <w:rPr>
          <w:rFonts w:ascii="Times-Roman" w:hAnsi="Times-Roman" w:cs="Times-Roman"/>
          <w:color w:val="000000"/>
          <w:sz w:val="18"/>
          <w:szCs w:val="18"/>
          <w:u w:val="single"/>
        </w:rPr>
        <w:t>9</w:t>
      </w:r>
      <w:r>
        <w:rPr>
          <w:rFonts w:ascii="Times-Roman" w:hAnsi="Times-Roman" w:cs="Times-Roman"/>
          <w:color w:val="000000"/>
          <w:sz w:val="18"/>
          <w:szCs w:val="18"/>
        </w:rPr>
        <w:t xml:space="preserve"> Performance of Low-Rise Residential Buildings Using an Energy Rating Index, </w:t>
      </w:r>
      <w:r>
        <w:rPr>
          <w:rFonts w:ascii="Times-Roman" w:hAnsi="Times-Roman" w:cs="Times-Roman"/>
          <w:color w:val="FF0000"/>
          <w:sz w:val="18"/>
          <w:szCs w:val="18"/>
          <w:u w:val="single"/>
        </w:rPr>
        <w:t>including Addendum A-2019</w:t>
      </w:r>
      <w:r>
        <w:rPr>
          <w:rFonts w:ascii="Times-Roman" w:hAnsi="Times-Roman" w:cs="Times-Roman"/>
          <w:color w:val="000000"/>
          <w:sz w:val="18"/>
          <w:szCs w:val="18"/>
        </w:rPr>
        <w:t>. . . . . . . . . . . . . . R406.4</w:t>
      </w:r>
      <w:r w:rsidR="00574B80">
        <w:rPr>
          <w:rFonts w:ascii="Times-Roman" w:hAnsi="Times-Roman" w:cs="Times-Roman"/>
          <w:color w:val="000000"/>
          <w:sz w:val="18"/>
          <w:szCs w:val="18"/>
        </w:rPr>
        <w:t xml:space="preserve">, </w:t>
      </w:r>
      <w:r w:rsidR="00574B80" w:rsidRPr="00574B80">
        <w:rPr>
          <w:rFonts w:ascii="Times-Roman" w:hAnsi="Times-Roman" w:cs="Times-Roman"/>
          <w:color w:val="FF0000"/>
          <w:sz w:val="18"/>
          <w:szCs w:val="18"/>
          <w:u w:val="single"/>
        </w:rPr>
        <w:t xml:space="preserve">Table </w:t>
      </w:r>
      <w:proofErr w:type="gramStart"/>
      <w:r w:rsidR="00574B80" w:rsidRPr="00574B80">
        <w:rPr>
          <w:rFonts w:ascii="Times-Roman" w:hAnsi="Times-Roman" w:cs="Times-Roman"/>
          <w:color w:val="FF0000"/>
          <w:sz w:val="18"/>
          <w:szCs w:val="18"/>
          <w:u w:val="single"/>
        </w:rPr>
        <w:t>R</w:t>
      </w:r>
      <w:bookmarkStart w:id="0" w:name="_GoBack"/>
      <w:bookmarkEnd w:id="0"/>
      <w:r w:rsidR="00574B80" w:rsidRPr="00574B80">
        <w:rPr>
          <w:rFonts w:ascii="Times-Roman" w:hAnsi="Times-Roman" w:cs="Times-Roman"/>
          <w:color w:val="FF0000"/>
          <w:sz w:val="18"/>
          <w:szCs w:val="18"/>
          <w:u w:val="single"/>
        </w:rPr>
        <w:t>405.5.2(</w:t>
      </w:r>
      <w:proofErr w:type="gramEnd"/>
      <w:r w:rsidR="00574B80" w:rsidRPr="00574B80">
        <w:rPr>
          <w:rFonts w:ascii="Times-Roman" w:hAnsi="Times-Roman" w:cs="Times-Roman"/>
          <w:color w:val="FF0000"/>
          <w:sz w:val="18"/>
          <w:szCs w:val="18"/>
          <w:u w:val="single"/>
        </w:rPr>
        <w:t>1)</w:t>
      </w:r>
    </w:p>
    <w:p w:rsidR="00200B0A" w:rsidRDefault="00200B0A" w:rsidP="00200B0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trike/>
          <w:color w:val="000000"/>
          <w:sz w:val="18"/>
          <w:szCs w:val="18"/>
        </w:rPr>
      </w:pPr>
    </w:p>
    <w:p w:rsidR="00200B0A" w:rsidRPr="00F8663C" w:rsidRDefault="00200B0A" w:rsidP="00200B0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trike/>
          <w:color w:val="000000"/>
          <w:sz w:val="18"/>
          <w:szCs w:val="18"/>
        </w:rPr>
      </w:pPr>
      <w:r w:rsidRPr="00F8663C">
        <w:rPr>
          <w:rFonts w:ascii="Times-Roman" w:hAnsi="Times-Roman" w:cs="Times-Roman"/>
          <w:strike/>
          <w:color w:val="000000"/>
          <w:sz w:val="18"/>
          <w:szCs w:val="18"/>
        </w:rPr>
        <w:t>ANSI/RESNET/</w:t>
      </w:r>
    </w:p>
    <w:p w:rsidR="00200B0A" w:rsidRPr="00E135D1" w:rsidRDefault="00200B0A" w:rsidP="00200B0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trike/>
          <w:color w:val="000000"/>
          <w:sz w:val="18"/>
          <w:szCs w:val="18"/>
        </w:rPr>
      </w:pPr>
      <w:r w:rsidRPr="00E135D1">
        <w:rPr>
          <w:rFonts w:ascii="Times-Roman" w:hAnsi="Times-Roman" w:cs="Times-Roman"/>
          <w:strike/>
          <w:color w:val="000000"/>
          <w:sz w:val="18"/>
          <w:szCs w:val="18"/>
        </w:rPr>
        <w:t>ICC 301—2014,</w:t>
      </w:r>
    </w:p>
    <w:p w:rsidR="00200B0A" w:rsidRDefault="00200B0A" w:rsidP="00200B0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trike/>
          <w:color w:val="000000"/>
          <w:sz w:val="18"/>
          <w:szCs w:val="18"/>
        </w:rPr>
      </w:pPr>
      <w:r w:rsidRPr="00E135D1">
        <w:rPr>
          <w:rFonts w:ascii="Times-Roman" w:hAnsi="Times-Roman" w:cs="Times-Roman"/>
          <w:strike/>
          <w:color w:val="000000"/>
          <w:sz w:val="18"/>
          <w:szCs w:val="18"/>
        </w:rPr>
        <w:t xml:space="preserve">Addendum A-2015 Amendment on Domestic Hot Water </w:t>
      </w:r>
      <w:proofErr w:type="gramStart"/>
      <w:r w:rsidRPr="00E135D1">
        <w:rPr>
          <w:rFonts w:ascii="Times-Roman" w:hAnsi="Times-Roman" w:cs="Times-Roman"/>
          <w:strike/>
          <w:color w:val="000000"/>
          <w:sz w:val="18"/>
          <w:szCs w:val="18"/>
        </w:rPr>
        <w:t>Systems</w:t>
      </w:r>
      <w:r w:rsidRPr="00E135D1">
        <w:rPr>
          <w:rFonts w:ascii="Times-Roman" w:hAnsi="Times-Roman" w:cs="Times-Roman"/>
          <w:strike/>
          <w:color w:val="FF0000"/>
          <w:sz w:val="18"/>
          <w:szCs w:val="18"/>
        </w:rPr>
        <w:t>.</w:t>
      </w:r>
      <w:proofErr w:type="gramEnd"/>
      <w:r w:rsidRPr="00E135D1">
        <w:rPr>
          <w:rFonts w:ascii="Times-Roman" w:hAnsi="Times-Roman" w:cs="Times-Roman"/>
          <w:strike/>
          <w:color w:val="FF0000"/>
          <w:sz w:val="18"/>
          <w:szCs w:val="18"/>
        </w:rPr>
        <w:t xml:space="preserve"> . . . . . . . . . . . . . . . . . . . . . . . . . . .Table R405.5.2(1), </w:t>
      </w:r>
      <w:r w:rsidRPr="00F8663C">
        <w:rPr>
          <w:rFonts w:ascii="Times-Roman" w:hAnsi="Times-Roman" w:cs="Times-Roman"/>
          <w:strike/>
          <w:color w:val="000000"/>
          <w:sz w:val="18"/>
          <w:szCs w:val="18"/>
        </w:rPr>
        <w:t>R406.4</w:t>
      </w:r>
    </w:p>
    <w:p w:rsidR="00200B0A" w:rsidRDefault="00200B0A" w:rsidP="00200B0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trike/>
          <w:color w:val="000000"/>
          <w:sz w:val="18"/>
          <w:szCs w:val="18"/>
        </w:rPr>
      </w:pPr>
    </w:p>
    <w:p w:rsidR="00200B0A" w:rsidRPr="00E135D1" w:rsidRDefault="00200B0A" w:rsidP="00200B0A">
      <w:pPr>
        <w:spacing w:after="0" w:line="240" w:lineRule="auto"/>
        <w:rPr>
          <w:rFonts w:ascii="Arial" w:eastAsia="Calibri" w:hAnsi="Arial" w:cs="Times New Roman"/>
          <w:b/>
          <w:color w:val="FF0000"/>
          <w:sz w:val="24"/>
          <w:szCs w:val="24"/>
        </w:rPr>
      </w:pPr>
      <w:r w:rsidRPr="00E135D1">
        <w:rPr>
          <w:rFonts w:ascii="Arial" w:eastAsia="Calibri" w:hAnsi="Arial" w:cs="Times New Roman"/>
          <w:b/>
          <w:color w:val="FF0000"/>
          <w:sz w:val="24"/>
          <w:szCs w:val="24"/>
        </w:rPr>
        <w:t>EN-ER-Ch. 4/6 - Comment #1</w:t>
      </w:r>
    </w:p>
    <w:p w:rsidR="00200B0A" w:rsidRPr="000A3B4D" w:rsidRDefault="00200B0A" w:rsidP="000A3B4D">
      <w:pPr>
        <w:spacing w:after="0" w:line="240" w:lineRule="auto"/>
        <w:rPr>
          <w:rFonts w:ascii="Arial" w:eastAsia="Calibri" w:hAnsi="Arial" w:cs="Times New Roman"/>
          <w:color w:val="FF0000"/>
        </w:rPr>
      </w:pPr>
    </w:p>
    <w:p w:rsidR="00AA2306" w:rsidRDefault="00AA2306" w:rsidP="000A3B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A2306" w:rsidRDefault="00AA2306" w:rsidP="00AA2306">
      <w:pPr>
        <w:spacing w:after="0" w:line="240" w:lineRule="auto"/>
        <w:rPr>
          <w:rFonts w:ascii="Arial" w:eastAsia="Calibri" w:hAnsi="Arial" w:cs="Times New Roman"/>
          <w:b/>
          <w:color w:val="FF0000"/>
        </w:rPr>
      </w:pPr>
    </w:p>
    <w:p w:rsidR="00AA2306" w:rsidRPr="00AA2306" w:rsidRDefault="00AA2306" w:rsidP="00AA2306">
      <w:pPr>
        <w:spacing w:after="0" w:line="240" w:lineRule="auto"/>
        <w:rPr>
          <w:rFonts w:ascii="Arial" w:eastAsia="Calibri" w:hAnsi="Arial" w:cs="Times New Roman"/>
          <w:b/>
          <w:color w:val="FF0000"/>
        </w:rPr>
      </w:pPr>
    </w:p>
    <w:p w:rsidR="00AA2306" w:rsidRDefault="00AA2306" w:rsidP="00AA2306">
      <w:pPr>
        <w:widowControl w:val="0"/>
        <w:autoSpaceDE w:val="0"/>
        <w:autoSpaceDN w:val="0"/>
        <w:spacing w:after="0" w:line="240" w:lineRule="auto"/>
        <w:ind w:left="196" w:right="116"/>
        <w:rPr>
          <w:rFonts w:ascii="Arial" w:eastAsia="Calibri" w:hAnsi="Calibri" w:cs="Calibri"/>
          <w:sz w:val="24"/>
          <w:szCs w:val="24"/>
          <w:u w:val="single"/>
          <w:lang w:bidi="en-US"/>
        </w:rPr>
      </w:pPr>
      <w:r w:rsidRPr="00AA2306">
        <w:rPr>
          <w:rFonts w:ascii="Arial" w:eastAsia="Calibri" w:hAnsi="Calibri" w:cs="Calibri"/>
          <w:sz w:val="24"/>
          <w:szCs w:val="24"/>
          <w:u w:val="single"/>
          <w:lang w:bidi="en-US"/>
        </w:rPr>
        <w:t xml:space="preserve">Commercial Provisions </w:t>
      </w:r>
    </w:p>
    <w:p w:rsidR="00AA2306" w:rsidRDefault="00AA2306" w:rsidP="00AA2306">
      <w:pPr>
        <w:widowControl w:val="0"/>
        <w:autoSpaceDE w:val="0"/>
        <w:autoSpaceDN w:val="0"/>
        <w:spacing w:after="0" w:line="240" w:lineRule="auto"/>
        <w:ind w:left="196" w:right="116"/>
        <w:rPr>
          <w:rFonts w:ascii="Arial" w:eastAsia="Calibri" w:hAnsi="Calibri" w:cs="Calibri"/>
          <w:sz w:val="24"/>
          <w:szCs w:val="24"/>
          <w:u w:val="single"/>
          <w:lang w:bidi="en-US"/>
        </w:rPr>
      </w:pPr>
    </w:p>
    <w:p w:rsidR="00AA2306" w:rsidRPr="00AA2306" w:rsidRDefault="00AA2306" w:rsidP="00AA2306">
      <w:pPr>
        <w:autoSpaceDE w:val="0"/>
        <w:autoSpaceDN w:val="0"/>
        <w:adjustRightInd w:val="0"/>
        <w:spacing w:after="0" w:line="240" w:lineRule="auto"/>
        <w:rPr>
          <w:rFonts w:ascii="Arial" w:eastAsia="Calibri" w:hAnsi="Calibri" w:cs="Calibri"/>
          <w:sz w:val="24"/>
          <w:szCs w:val="24"/>
          <w:u w:val="single"/>
          <w:lang w:bidi="en-US"/>
        </w:rPr>
      </w:pPr>
      <w:r w:rsidRPr="00AA2306">
        <w:rPr>
          <w:rFonts w:ascii="Helvetica-Bold" w:hAnsi="Helvetica-Bold" w:cs="Helvetica-Bold"/>
          <w:bCs/>
          <w:sz w:val="24"/>
          <w:szCs w:val="24"/>
          <w:u w:val="single"/>
        </w:rPr>
        <w:t>CHAPTER 4 [CE] COMMERCIAL ENERGY EFFICIENCY</w:t>
      </w:r>
    </w:p>
    <w:p w:rsidR="00AA2306" w:rsidRPr="00AA2306" w:rsidRDefault="00AA2306" w:rsidP="00AA2306">
      <w:pPr>
        <w:widowControl w:val="0"/>
        <w:autoSpaceDE w:val="0"/>
        <w:autoSpaceDN w:val="0"/>
        <w:spacing w:after="0" w:line="240" w:lineRule="auto"/>
        <w:ind w:left="196" w:right="116"/>
        <w:jc w:val="center"/>
        <w:rPr>
          <w:rFonts w:ascii="Arial" w:eastAsia="Calibri" w:hAnsi="Calibri" w:cs="Calibri"/>
          <w:sz w:val="24"/>
          <w:szCs w:val="24"/>
          <w:lang w:bidi="en-US"/>
        </w:rPr>
      </w:pPr>
    </w:p>
    <w:p w:rsidR="00200B0A" w:rsidRDefault="00200B0A" w:rsidP="00200B0A">
      <w:pPr>
        <w:widowControl w:val="0"/>
        <w:autoSpaceDE w:val="0"/>
        <w:autoSpaceDN w:val="0"/>
        <w:spacing w:after="0" w:line="240" w:lineRule="auto"/>
        <w:ind w:left="196" w:right="116"/>
        <w:rPr>
          <w:rFonts w:ascii="Arial" w:eastAsia="Calibri" w:hAnsi="Calibri" w:cs="Calibri"/>
          <w:sz w:val="24"/>
          <w:szCs w:val="24"/>
          <w:lang w:bidi="en-US"/>
        </w:rPr>
      </w:pPr>
    </w:p>
    <w:p w:rsidR="00200B0A" w:rsidRPr="00200B0A" w:rsidRDefault="00200B0A" w:rsidP="00200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proofErr w:type="gramStart"/>
      <w:r w:rsidRPr="00200B0A">
        <w:rPr>
          <w:rFonts w:ascii="Arial" w:eastAsia="Times New Roman" w:hAnsi="Arial" w:cs="Arial"/>
          <w:b/>
          <w:bCs/>
          <w:color w:val="000000"/>
          <w:sz w:val="24"/>
        </w:rPr>
        <w:t>C401.2 Application.</w:t>
      </w:r>
      <w:proofErr w:type="gramEnd"/>
      <w:r w:rsidRPr="00200B0A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  <w:r w:rsidRPr="00200B0A">
        <w:rPr>
          <w:rFonts w:ascii="Arial" w:eastAsia="Times New Roman" w:hAnsi="Arial" w:cs="Arial"/>
          <w:color w:val="000000"/>
          <w:sz w:val="24"/>
        </w:rPr>
        <w:t>Commercial buildings shall comply with one of the following:</w:t>
      </w:r>
    </w:p>
    <w:p w:rsidR="00200B0A" w:rsidRPr="00200B0A" w:rsidRDefault="00200B0A" w:rsidP="00200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200B0A">
        <w:rPr>
          <w:rFonts w:ascii="Arial" w:eastAsia="Times New Roman" w:hAnsi="Arial" w:cs="Arial"/>
          <w:color w:val="000000"/>
          <w:sz w:val="24"/>
        </w:rPr>
        <w:t> </w:t>
      </w:r>
    </w:p>
    <w:p w:rsidR="00200B0A" w:rsidRPr="00200B0A" w:rsidRDefault="00200B0A" w:rsidP="00200B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70" w:hanging="450"/>
        <w:rPr>
          <w:rFonts w:ascii="Arial" w:eastAsia="Times New Roman" w:hAnsi="Arial" w:cs="Arial"/>
          <w:b/>
          <w:bCs/>
          <w:color w:val="000000"/>
          <w:sz w:val="24"/>
        </w:rPr>
      </w:pPr>
      <w:r w:rsidRPr="00200B0A">
        <w:rPr>
          <w:rFonts w:ascii="Arial" w:eastAsia="Times New Roman" w:hAnsi="Arial" w:cs="Arial"/>
          <w:b/>
          <w:bCs/>
          <w:color w:val="000000"/>
          <w:sz w:val="24"/>
          <w:lang w:eastAsia="ja-JP"/>
        </w:rPr>
        <w:t>1.</w:t>
      </w:r>
      <w:r w:rsidRPr="00200B0A">
        <w:rPr>
          <w:rFonts w:ascii="Arial" w:eastAsia="Times New Roman" w:hAnsi="Arial" w:cs="Arial"/>
          <w:b/>
          <w:bCs/>
          <w:color w:val="000000"/>
          <w:sz w:val="24"/>
          <w:lang w:eastAsia="ja-JP"/>
        </w:rPr>
        <w:tab/>
      </w:r>
      <w:r w:rsidRPr="00200B0A">
        <w:rPr>
          <w:rFonts w:ascii="Arial" w:eastAsia="Times New Roman" w:hAnsi="Arial" w:cs="Arial"/>
          <w:b/>
          <w:bCs/>
          <w:color w:val="000000"/>
          <w:sz w:val="24"/>
        </w:rPr>
        <w:t>The requirements of ANSI/ASHRAE/IESNA 90.1, excluding section 9.4.1.1(g)</w:t>
      </w:r>
      <w:r w:rsidRPr="00200B0A">
        <w:rPr>
          <w:rFonts w:ascii="Arial" w:eastAsia="Times New Roman" w:hAnsi="Arial" w:cs="Arial"/>
          <w:b/>
          <w:bCs/>
          <w:color w:val="FF0000"/>
          <w:sz w:val="24"/>
          <w:u w:val="single"/>
        </w:rPr>
        <w:t>,</w:t>
      </w:r>
      <w:r w:rsidRPr="00200B0A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  <w:r w:rsidRPr="00200B0A">
        <w:rPr>
          <w:rFonts w:ascii="Arial" w:eastAsia="Times New Roman" w:hAnsi="Arial" w:cs="Arial"/>
          <w:b/>
          <w:bCs/>
          <w:strike/>
          <w:color w:val="FF0000"/>
          <w:sz w:val="24"/>
        </w:rPr>
        <w:t>and</w:t>
      </w:r>
      <w:r w:rsidRPr="00200B0A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  <w:r w:rsidRPr="00200B0A">
        <w:rPr>
          <w:rFonts w:ascii="Arial" w:eastAsia="Times New Roman" w:hAnsi="Arial" w:cs="Arial"/>
          <w:b/>
          <w:bCs/>
          <w:color w:val="000000"/>
          <w:sz w:val="24"/>
          <w:u w:val="single"/>
        </w:rPr>
        <w:t>section 8.4.2</w:t>
      </w:r>
      <w:r w:rsidRPr="00200B0A">
        <w:rPr>
          <w:rFonts w:ascii="Arial" w:eastAsia="Times New Roman" w:hAnsi="Arial" w:cs="Arial"/>
          <w:b/>
          <w:bCs/>
          <w:color w:val="FF0000"/>
          <w:sz w:val="24"/>
        </w:rPr>
        <w:t>,</w:t>
      </w:r>
      <w:r w:rsidRPr="00200B0A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  <w:r w:rsidRPr="00200B0A">
        <w:rPr>
          <w:rFonts w:ascii="Arial" w:eastAsia="Times New Roman" w:hAnsi="Arial" w:cs="Arial"/>
          <w:b/>
          <w:bCs/>
          <w:color w:val="FF0000"/>
          <w:sz w:val="24"/>
          <w:u w:val="single"/>
        </w:rPr>
        <w:t>and section 8.4.3</w:t>
      </w:r>
      <w:r w:rsidRPr="00200B0A">
        <w:rPr>
          <w:rFonts w:ascii="Arial" w:eastAsia="Times New Roman" w:hAnsi="Arial" w:cs="Arial"/>
          <w:b/>
          <w:bCs/>
          <w:color w:val="FF0000"/>
          <w:sz w:val="24"/>
        </w:rPr>
        <w:t xml:space="preserve"> </w:t>
      </w:r>
      <w:r w:rsidRPr="00200B0A">
        <w:rPr>
          <w:rFonts w:ascii="Arial" w:eastAsia="Times New Roman" w:hAnsi="Arial" w:cs="Arial"/>
          <w:b/>
          <w:bCs/>
          <w:color w:val="000000"/>
          <w:sz w:val="24"/>
        </w:rPr>
        <w:t>of the standard.</w:t>
      </w:r>
    </w:p>
    <w:p w:rsidR="00200B0A" w:rsidRPr="00200B0A" w:rsidRDefault="00200B0A" w:rsidP="00200B0A">
      <w:pPr>
        <w:widowControl w:val="0"/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ind w:left="1170" w:right="1564" w:hanging="450"/>
        <w:rPr>
          <w:rFonts w:ascii="Arial" w:eastAsia="Times New Roman" w:hAnsi="Arial" w:cs="Arial"/>
          <w:b/>
          <w:bCs/>
          <w:color w:val="000000"/>
          <w:sz w:val="24"/>
        </w:rPr>
      </w:pPr>
      <w:r w:rsidRPr="00200B0A">
        <w:rPr>
          <w:rFonts w:ascii="Arial" w:eastAsia="Times New Roman" w:hAnsi="Arial" w:cs="Arial"/>
          <w:b/>
          <w:bCs/>
          <w:color w:val="000000"/>
          <w:sz w:val="24"/>
          <w:lang w:eastAsia="ja-JP"/>
        </w:rPr>
        <w:t>2.</w:t>
      </w:r>
      <w:r w:rsidRPr="00200B0A">
        <w:rPr>
          <w:rFonts w:ascii="Arial" w:eastAsia="Times New Roman" w:hAnsi="Arial" w:cs="Arial"/>
          <w:b/>
          <w:bCs/>
          <w:color w:val="000000"/>
          <w:sz w:val="24"/>
          <w:lang w:eastAsia="ja-JP"/>
        </w:rPr>
        <w:tab/>
      </w:r>
      <w:r w:rsidRPr="00200B0A">
        <w:rPr>
          <w:rFonts w:ascii="Arial" w:eastAsia="Times New Roman" w:hAnsi="Arial" w:cs="Arial"/>
          <w:b/>
          <w:bCs/>
          <w:color w:val="000000"/>
          <w:sz w:val="24"/>
        </w:rPr>
        <w:t>The requirements of Sections C402 through C405</w:t>
      </w:r>
      <w:r w:rsidRPr="00200B0A">
        <w:rPr>
          <w:rFonts w:ascii="Arial" w:eastAsia="Times New Roman" w:hAnsi="Arial" w:cs="Arial"/>
          <w:b/>
          <w:bCs/>
          <w:color w:val="000000"/>
          <w:sz w:val="24"/>
          <w:u w:val="single"/>
        </w:rPr>
        <w:t xml:space="preserve"> </w:t>
      </w:r>
      <w:r w:rsidRPr="00200B0A">
        <w:rPr>
          <w:rFonts w:ascii="Arial" w:eastAsia="Times New Roman" w:hAnsi="Arial" w:cs="Arial"/>
          <w:b/>
          <w:bCs/>
          <w:color w:val="000000"/>
          <w:sz w:val="24"/>
        </w:rPr>
        <w:t>and Section C408. In addition, commercial buildings shall comply with Section C406 and tenant spaces shall comply with Section</w:t>
      </w:r>
      <w:r w:rsidR="00B664B1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  <w:r w:rsidRPr="00200B0A">
        <w:rPr>
          <w:rFonts w:ascii="Arial" w:eastAsia="Times New Roman" w:hAnsi="Arial" w:cs="Arial"/>
          <w:b/>
          <w:bCs/>
          <w:color w:val="000000"/>
          <w:sz w:val="24"/>
        </w:rPr>
        <w:t>C406.1.1.</w:t>
      </w:r>
    </w:p>
    <w:p w:rsidR="00200B0A" w:rsidRPr="00200B0A" w:rsidRDefault="00200B0A" w:rsidP="00200B0A">
      <w:pPr>
        <w:widowControl w:val="0"/>
        <w:tabs>
          <w:tab w:val="left" w:pos="2100"/>
        </w:tabs>
        <w:overflowPunct w:val="0"/>
        <w:autoSpaceDE w:val="0"/>
        <w:autoSpaceDN w:val="0"/>
        <w:adjustRightInd w:val="0"/>
        <w:spacing w:after="0" w:line="240" w:lineRule="auto"/>
        <w:ind w:left="1170" w:right="1564" w:hanging="450"/>
        <w:rPr>
          <w:rFonts w:ascii="Arial" w:eastAsia="Times New Roman" w:hAnsi="Arial" w:cs="Arial"/>
          <w:b/>
          <w:bCs/>
          <w:color w:val="000000"/>
          <w:sz w:val="24"/>
        </w:rPr>
      </w:pPr>
      <w:r w:rsidRPr="00200B0A">
        <w:rPr>
          <w:rFonts w:ascii="Arial" w:eastAsia="Times New Roman" w:hAnsi="Arial" w:cs="Arial"/>
          <w:b/>
          <w:bCs/>
          <w:color w:val="000000"/>
          <w:sz w:val="24"/>
          <w:lang w:eastAsia="ja-JP"/>
        </w:rPr>
        <w:t>3.</w:t>
      </w:r>
      <w:r w:rsidRPr="00200B0A">
        <w:rPr>
          <w:rFonts w:ascii="Arial" w:eastAsia="Times New Roman" w:hAnsi="Arial" w:cs="Arial"/>
          <w:b/>
          <w:bCs/>
          <w:color w:val="000000"/>
          <w:sz w:val="24"/>
          <w:lang w:eastAsia="ja-JP"/>
        </w:rPr>
        <w:tab/>
      </w:r>
      <w:r w:rsidRPr="00200B0A">
        <w:rPr>
          <w:rFonts w:ascii="Arial" w:eastAsia="Times New Roman" w:hAnsi="Arial" w:cs="Arial"/>
          <w:b/>
          <w:bCs/>
          <w:color w:val="000000"/>
          <w:sz w:val="24"/>
        </w:rPr>
        <w:t xml:space="preserve">3. </w:t>
      </w:r>
      <w:proofErr w:type="gramStart"/>
      <w:r w:rsidRPr="00200B0A">
        <w:rPr>
          <w:rFonts w:ascii="Arial" w:eastAsia="Times New Roman" w:hAnsi="Arial" w:cs="Arial"/>
          <w:b/>
          <w:bCs/>
          <w:color w:val="000000"/>
          <w:sz w:val="24"/>
        </w:rPr>
        <w:t xml:space="preserve">The requirements of Sections C402.5, C403.2, C404, C405.2, C405.3, C405.5, C405.6, C407, and </w:t>
      </w:r>
      <w:r w:rsidRPr="00B664B1">
        <w:rPr>
          <w:rFonts w:ascii="Arial" w:eastAsia="Times New Roman" w:hAnsi="Arial" w:cs="Arial"/>
          <w:b/>
          <w:bCs/>
          <w:color w:val="000000"/>
          <w:sz w:val="24"/>
          <w:u w:val="single"/>
        </w:rPr>
        <w:t>Section C408</w:t>
      </w:r>
      <w:r w:rsidRPr="00200B0A">
        <w:rPr>
          <w:rFonts w:ascii="Arial" w:eastAsia="Times New Roman" w:hAnsi="Arial" w:cs="Arial"/>
          <w:b/>
          <w:bCs/>
          <w:color w:val="000000"/>
          <w:sz w:val="24"/>
        </w:rPr>
        <w:t>.</w:t>
      </w:r>
      <w:proofErr w:type="gramEnd"/>
      <w:r w:rsidRPr="00200B0A">
        <w:rPr>
          <w:rFonts w:ascii="Arial" w:eastAsia="Times New Roman" w:hAnsi="Arial" w:cs="Arial"/>
          <w:b/>
          <w:bCs/>
          <w:color w:val="000000"/>
          <w:sz w:val="24"/>
        </w:rPr>
        <w:t xml:space="preserve"> The building energy cost shall be equal to or less than 85 percent of the standard reference design building.</w:t>
      </w:r>
    </w:p>
    <w:p w:rsidR="00200B0A" w:rsidRDefault="00200B0A" w:rsidP="00AA2306">
      <w:pPr>
        <w:widowControl w:val="0"/>
        <w:autoSpaceDE w:val="0"/>
        <w:autoSpaceDN w:val="0"/>
        <w:spacing w:after="0" w:line="240" w:lineRule="auto"/>
        <w:ind w:left="196" w:right="116"/>
        <w:jc w:val="center"/>
        <w:rPr>
          <w:rFonts w:ascii="Arial" w:eastAsia="Calibri" w:hAnsi="Calibri" w:cs="Calibri"/>
          <w:sz w:val="24"/>
          <w:szCs w:val="24"/>
          <w:lang w:bidi="en-US"/>
        </w:rPr>
      </w:pPr>
    </w:p>
    <w:p w:rsidR="00200B0A" w:rsidRPr="00200B0A" w:rsidRDefault="00200B0A" w:rsidP="00200B0A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200B0A">
        <w:rPr>
          <w:rFonts w:ascii="Arial" w:eastAsia="Times New Roman" w:hAnsi="Arial" w:cs="Arial"/>
          <w:b/>
          <w:bCs/>
          <w:snapToGrid w:val="0"/>
          <w:sz w:val="24"/>
          <w:szCs w:val="24"/>
        </w:rPr>
        <w:t>C405.</w:t>
      </w:r>
      <w:r w:rsidRPr="00200B0A">
        <w:rPr>
          <w:rFonts w:ascii="Arial" w:eastAsia="Times New Roman" w:hAnsi="Arial" w:cs="Arial"/>
          <w:b/>
          <w:bCs/>
          <w:strike/>
          <w:snapToGrid w:val="0"/>
          <w:sz w:val="24"/>
          <w:szCs w:val="24"/>
        </w:rPr>
        <w:t>6</w:t>
      </w:r>
      <w:r w:rsidRPr="00200B0A">
        <w:rPr>
          <w:rFonts w:ascii="Arial" w:eastAsia="Times New Roman" w:hAnsi="Arial" w:cs="Arial"/>
          <w:b/>
          <w:bCs/>
          <w:snapToGrid w:val="0"/>
          <w:sz w:val="24"/>
          <w:szCs w:val="24"/>
          <w:u w:val="single"/>
        </w:rPr>
        <w:t xml:space="preserve">5 </w:t>
      </w:r>
      <w:r w:rsidRPr="00200B0A">
        <w:rPr>
          <w:rFonts w:ascii="Arial" w:eastAsia="Times New Roman" w:hAnsi="Arial" w:cs="Arial"/>
          <w:b/>
          <w:bCs/>
          <w:snapToGrid w:val="0"/>
          <w:sz w:val="24"/>
          <w:szCs w:val="24"/>
        </w:rPr>
        <w:t>Electrical power (Mandatory).</w:t>
      </w:r>
    </w:p>
    <w:p w:rsidR="00200B0A" w:rsidRPr="00200B0A" w:rsidRDefault="00200B0A" w:rsidP="00200B0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proofErr w:type="gramStart"/>
      <w:r w:rsidRPr="00200B0A">
        <w:rPr>
          <w:rFonts w:ascii="Arial" w:eastAsia="Times New Roman" w:hAnsi="Arial" w:cs="Arial"/>
          <w:b/>
          <w:bCs/>
          <w:snapToGrid w:val="0"/>
          <w:sz w:val="24"/>
          <w:szCs w:val="24"/>
        </w:rPr>
        <w:t>C405.</w:t>
      </w:r>
      <w:r w:rsidRPr="00200B0A">
        <w:rPr>
          <w:rFonts w:ascii="Arial" w:eastAsia="Times New Roman" w:hAnsi="Arial" w:cs="Arial"/>
          <w:b/>
          <w:bCs/>
          <w:strike/>
          <w:snapToGrid w:val="0"/>
          <w:sz w:val="24"/>
          <w:szCs w:val="24"/>
        </w:rPr>
        <w:t>6</w:t>
      </w:r>
      <w:r w:rsidRPr="00200B0A">
        <w:rPr>
          <w:rFonts w:ascii="Arial" w:eastAsia="Times New Roman" w:hAnsi="Arial" w:cs="Arial"/>
          <w:b/>
          <w:bCs/>
          <w:snapToGrid w:val="0"/>
          <w:sz w:val="24"/>
          <w:szCs w:val="24"/>
          <w:u w:val="single"/>
        </w:rPr>
        <w:t>5</w:t>
      </w:r>
      <w:r w:rsidRPr="00200B0A">
        <w:rPr>
          <w:rFonts w:ascii="Arial" w:eastAsia="Times New Roman" w:hAnsi="Arial" w:cs="Arial"/>
          <w:b/>
          <w:bCs/>
          <w:snapToGrid w:val="0"/>
          <w:sz w:val="24"/>
          <w:szCs w:val="24"/>
        </w:rPr>
        <w:t>.1 Applicability.</w:t>
      </w:r>
      <w:proofErr w:type="gramEnd"/>
      <w:r w:rsidRPr="00200B0A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</w:t>
      </w:r>
      <w:r w:rsidRPr="00200B0A">
        <w:rPr>
          <w:rFonts w:ascii="Arial" w:eastAsia="Times New Roman" w:hAnsi="Arial" w:cs="Arial"/>
          <w:snapToGrid w:val="0"/>
          <w:sz w:val="24"/>
          <w:szCs w:val="24"/>
        </w:rPr>
        <w:t>This section applies to all building</w:t>
      </w:r>
    </w:p>
    <w:p w:rsidR="00200B0A" w:rsidRPr="00200B0A" w:rsidRDefault="00200B0A" w:rsidP="00200B0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proofErr w:type="gramStart"/>
      <w:r w:rsidRPr="00200B0A">
        <w:rPr>
          <w:rFonts w:ascii="Arial" w:eastAsia="Times New Roman" w:hAnsi="Arial" w:cs="Arial"/>
          <w:snapToGrid w:val="0"/>
          <w:sz w:val="24"/>
          <w:szCs w:val="24"/>
        </w:rPr>
        <w:t>power</w:t>
      </w:r>
      <w:proofErr w:type="gramEnd"/>
      <w:r w:rsidRPr="00200B0A">
        <w:rPr>
          <w:rFonts w:ascii="Arial" w:eastAsia="Times New Roman" w:hAnsi="Arial" w:cs="Arial"/>
          <w:snapToGrid w:val="0"/>
          <w:sz w:val="24"/>
          <w:szCs w:val="24"/>
        </w:rPr>
        <w:t xml:space="preserve"> distribution systems. The provisions for electrical</w:t>
      </w:r>
    </w:p>
    <w:p w:rsidR="00200B0A" w:rsidRPr="00200B0A" w:rsidRDefault="00200B0A" w:rsidP="00200B0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proofErr w:type="gramStart"/>
      <w:r w:rsidRPr="00200B0A">
        <w:rPr>
          <w:rFonts w:ascii="Arial" w:eastAsia="Times New Roman" w:hAnsi="Arial" w:cs="Arial"/>
          <w:snapToGrid w:val="0"/>
          <w:sz w:val="24"/>
          <w:szCs w:val="24"/>
        </w:rPr>
        <w:t>distribution</w:t>
      </w:r>
      <w:proofErr w:type="gramEnd"/>
      <w:r w:rsidRPr="00200B0A">
        <w:rPr>
          <w:rFonts w:ascii="Arial" w:eastAsia="Times New Roman" w:hAnsi="Arial" w:cs="Arial"/>
          <w:snapToGrid w:val="0"/>
          <w:sz w:val="24"/>
          <w:szCs w:val="24"/>
        </w:rPr>
        <w:t xml:space="preserve"> for all sections of this code are subject to</w:t>
      </w:r>
    </w:p>
    <w:p w:rsidR="00200B0A" w:rsidRPr="00200B0A" w:rsidRDefault="00200B0A" w:rsidP="00200B0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proofErr w:type="gramStart"/>
      <w:r w:rsidRPr="00200B0A">
        <w:rPr>
          <w:rFonts w:ascii="Arial" w:eastAsia="Times New Roman" w:hAnsi="Arial" w:cs="Arial"/>
          <w:snapToGrid w:val="0"/>
          <w:sz w:val="24"/>
          <w:szCs w:val="24"/>
        </w:rPr>
        <w:t>the</w:t>
      </w:r>
      <w:proofErr w:type="gramEnd"/>
      <w:r w:rsidRPr="00200B0A">
        <w:rPr>
          <w:rFonts w:ascii="Arial" w:eastAsia="Times New Roman" w:hAnsi="Arial" w:cs="Arial"/>
          <w:snapToGrid w:val="0"/>
          <w:sz w:val="24"/>
          <w:szCs w:val="24"/>
        </w:rPr>
        <w:t xml:space="preserve"> design conditions in ASHRAE Standard 90.1.</w:t>
      </w:r>
    </w:p>
    <w:p w:rsidR="00200B0A" w:rsidRPr="00200B0A" w:rsidRDefault="00200B0A" w:rsidP="00200B0A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u w:val="single"/>
        </w:rPr>
      </w:pPr>
    </w:p>
    <w:p w:rsidR="00200B0A" w:rsidRPr="00200B0A" w:rsidRDefault="00200B0A" w:rsidP="00200B0A">
      <w:pPr>
        <w:widowControl w:val="0"/>
        <w:spacing w:after="0" w:line="240" w:lineRule="auto"/>
        <w:ind w:left="720" w:right="720"/>
        <w:rPr>
          <w:rFonts w:ascii="Arial" w:eastAsia="Times New Roman" w:hAnsi="Arial" w:cs="Arial"/>
          <w:snapToGrid w:val="0"/>
          <w:sz w:val="24"/>
          <w:szCs w:val="24"/>
          <w:u w:val="single"/>
        </w:rPr>
      </w:pPr>
      <w:r w:rsidRPr="00200B0A">
        <w:rPr>
          <w:rFonts w:ascii="Arial" w:eastAsia="Times New Roman" w:hAnsi="Arial" w:cs="Arial"/>
          <w:b/>
          <w:bCs/>
          <w:snapToGrid w:val="0"/>
          <w:sz w:val="24"/>
          <w:szCs w:val="24"/>
          <w:u w:val="single"/>
        </w:rPr>
        <w:t xml:space="preserve">Exception: </w:t>
      </w:r>
      <w:r w:rsidRPr="00200B0A">
        <w:rPr>
          <w:rFonts w:ascii="Arial" w:eastAsia="Times New Roman" w:hAnsi="Arial" w:cs="Arial"/>
          <w:snapToGrid w:val="0"/>
          <w:sz w:val="24"/>
          <w:szCs w:val="24"/>
          <w:u w:val="single"/>
        </w:rPr>
        <w:t>Compliance with ASHRA 90.1 Sections 8.4.2, 8.4.3, and 9.4.1.1(g) are not required.</w:t>
      </w:r>
    </w:p>
    <w:p w:rsidR="00200B0A" w:rsidRPr="00200B0A" w:rsidRDefault="00200B0A" w:rsidP="00200B0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:rsidR="00200B0A" w:rsidRPr="00200B0A" w:rsidRDefault="00200B0A" w:rsidP="00200B0A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u w:val="single"/>
        </w:rPr>
      </w:pPr>
      <w:r w:rsidRPr="00200B0A">
        <w:rPr>
          <w:rFonts w:ascii="Arial" w:eastAsia="Times New Roman" w:hAnsi="Arial" w:cs="Arial"/>
          <w:b/>
          <w:bCs/>
          <w:snapToGrid w:val="0"/>
          <w:sz w:val="24"/>
          <w:szCs w:val="24"/>
        </w:rPr>
        <w:t>Remainder of Section unchanged.</w:t>
      </w:r>
    </w:p>
    <w:p w:rsidR="00200B0A" w:rsidRPr="00200B0A" w:rsidRDefault="00200B0A" w:rsidP="00200B0A">
      <w:pPr>
        <w:spacing w:after="0" w:line="240" w:lineRule="auto"/>
        <w:rPr>
          <w:rFonts w:ascii="Arial" w:eastAsia="Calibri" w:hAnsi="Arial" w:cs="Times New Roman"/>
          <w:b/>
        </w:rPr>
      </w:pPr>
    </w:p>
    <w:p w:rsidR="00200B0A" w:rsidRPr="00200B0A" w:rsidRDefault="00200B0A" w:rsidP="00200B0A">
      <w:pPr>
        <w:spacing w:after="0" w:line="240" w:lineRule="auto"/>
        <w:rPr>
          <w:rFonts w:ascii="Arial" w:eastAsia="Calibri" w:hAnsi="Arial" w:cs="Times New Roman"/>
          <w:b/>
          <w:color w:val="FF0000"/>
        </w:rPr>
      </w:pPr>
      <w:r w:rsidRPr="00200B0A">
        <w:rPr>
          <w:rFonts w:ascii="Arial" w:eastAsia="Calibri" w:hAnsi="Arial" w:cs="Times New Roman"/>
          <w:b/>
          <w:color w:val="FF0000"/>
        </w:rPr>
        <w:t>EN/E-EC-Ch. 4 - Comment #4</w:t>
      </w:r>
    </w:p>
    <w:p w:rsidR="00200B0A" w:rsidRPr="00200B0A" w:rsidRDefault="00200B0A" w:rsidP="00200B0A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:rsidR="00B623A6" w:rsidRDefault="00B623A6" w:rsidP="00B623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Table C404.2 – revise as per the attached.</w:t>
      </w:r>
    </w:p>
    <w:p w:rsidR="00B623A6" w:rsidRDefault="00B623A6" w:rsidP="00B623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623A6" w:rsidRDefault="00B623A6" w:rsidP="00B623A6">
      <w:pPr>
        <w:spacing w:after="0" w:line="240" w:lineRule="auto"/>
        <w:rPr>
          <w:rFonts w:ascii="Arial" w:eastAsia="Calibri" w:hAnsi="Arial" w:cs="Times New Roman"/>
          <w:b/>
          <w:color w:val="FF0000"/>
        </w:rPr>
      </w:pPr>
      <w:r w:rsidRPr="00AA2306">
        <w:rPr>
          <w:rFonts w:ascii="Arial" w:eastAsia="Calibri" w:hAnsi="Arial" w:cs="Times New Roman"/>
          <w:b/>
          <w:color w:val="FF0000"/>
        </w:rPr>
        <w:lastRenderedPageBreak/>
        <w:t>EN-EC-Ch. 4 - Comment #2</w:t>
      </w:r>
    </w:p>
    <w:p w:rsidR="00200B0A" w:rsidRDefault="00200B0A" w:rsidP="00B623A6">
      <w:pPr>
        <w:widowControl w:val="0"/>
        <w:autoSpaceDE w:val="0"/>
        <w:autoSpaceDN w:val="0"/>
        <w:spacing w:after="0" w:line="240" w:lineRule="auto"/>
        <w:ind w:left="196" w:right="116"/>
        <w:rPr>
          <w:rFonts w:ascii="Arial" w:eastAsia="Calibri" w:hAnsi="Calibri" w:cs="Calibri"/>
          <w:sz w:val="24"/>
          <w:szCs w:val="24"/>
          <w:lang w:bidi="en-US"/>
        </w:rPr>
      </w:pPr>
      <w:r w:rsidRPr="00200B0A">
        <w:rPr>
          <w:rFonts w:ascii="Arial" w:eastAsia="Times New Roman" w:hAnsi="Arial" w:cs="Arial"/>
          <w:bCs/>
          <w:color w:val="000000"/>
          <w:kern w:val="36"/>
          <w:sz w:val="21"/>
          <w:szCs w:val="21"/>
          <w:u w:val="single"/>
        </w:rPr>
        <w:br/>
      </w:r>
    </w:p>
    <w:p w:rsidR="00AA2306" w:rsidRPr="00AA2306" w:rsidRDefault="00AA2306" w:rsidP="00AA2306">
      <w:pPr>
        <w:widowControl w:val="0"/>
        <w:autoSpaceDE w:val="0"/>
        <w:autoSpaceDN w:val="0"/>
        <w:spacing w:after="0" w:line="240" w:lineRule="auto"/>
        <w:ind w:left="196" w:right="116"/>
        <w:jc w:val="center"/>
        <w:rPr>
          <w:rFonts w:ascii="Arial" w:eastAsia="Calibri" w:hAnsi="Calibri" w:cs="Calibri"/>
          <w:sz w:val="24"/>
          <w:szCs w:val="24"/>
          <w:lang w:bidi="en-US"/>
        </w:rPr>
      </w:pPr>
      <w:r w:rsidRPr="00AA2306">
        <w:rPr>
          <w:rFonts w:ascii="Arial" w:eastAsia="Calibri" w:hAnsi="Calibri" w:cs="Calibri"/>
          <w:sz w:val="24"/>
          <w:szCs w:val="24"/>
          <w:lang w:bidi="en-US"/>
        </w:rPr>
        <w:t xml:space="preserve">TABLE </w:t>
      </w:r>
      <w:proofErr w:type="gramStart"/>
      <w:r w:rsidRPr="00AA2306">
        <w:rPr>
          <w:rFonts w:ascii="Arial" w:eastAsia="Calibri" w:hAnsi="Calibri" w:cs="Calibri"/>
          <w:sz w:val="24"/>
          <w:szCs w:val="24"/>
          <w:lang w:bidi="en-US"/>
        </w:rPr>
        <w:t>C405.4.2(</w:t>
      </w:r>
      <w:proofErr w:type="gramEnd"/>
      <w:r w:rsidRPr="00AA2306">
        <w:rPr>
          <w:rFonts w:ascii="Arial" w:eastAsia="Calibri" w:hAnsi="Calibri" w:cs="Calibri"/>
          <w:sz w:val="24"/>
          <w:szCs w:val="24"/>
          <w:lang w:bidi="en-US"/>
        </w:rPr>
        <w:t>1) INTERIOR LIGHTING POWER ALLOWANCES: BUILDING AREA METHOD</w:t>
      </w:r>
    </w:p>
    <w:p w:rsidR="00AA2306" w:rsidRPr="00AA2306" w:rsidRDefault="00AA2306" w:rsidP="00AA2306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Calibri" w:cs="Calibri"/>
          <w:sz w:val="24"/>
          <w:szCs w:val="24"/>
          <w:lang w:bidi="en-US"/>
        </w:rPr>
      </w:pPr>
    </w:p>
    <w:p w:rsidR="00AA2306" w:rsidRPr="00AA2306" w:rsidRDefault="00AA2306" w:rsidP="00AA2306">
      <w:pPr>
        <w:widowControl w:val="0"/>
        <w:autoSpaceDE w:val="0"/>
        <w:autoSpaceDN w:val="0"/>
        <w:spacing w:after="0" w:line="259" w:lineRule="auto"/>
        <w:ind w:left="196" w:right="114"/>
        <w:jc w:val="center"/>
        <w:rPr>
          <w:rFonts w:ascii="Calibri" w:eastAsia="Calibri" w:hAnsi="Calibri" w:cs="Calibri"/>
          <w:sz w:val="24"/>
          <w:szCs w:val="24"/>
          <w:lang w:bidi="en-US"/>
        </w:rPr>
      </w:pPr>
      <w:r w:rsidRPr="00AA2306">
        <w:rPr>
          <w:rFonts w:ascii="Calibri" w:eastAsia="Calibri" w:hAnsi="Calibri" w:cs="Calibri"/>
          <w:sz w:val="24"/>
          <w:szCs w:val="24"/>
          <w:lang w:bidi="en-US"/>
        </w:rPr>
        <w:t>[No changes to table or footnotes except footnotes “a” and “b” as highlighted (starting from 2020 Energy Conservation Supplement):]</w:t>
      </w:r>
    </w:p>
    <w:p w:rsidR="00AA2306" w:rsidRPr="00AA2306" w:rsidRDefault="00AA2306" w:rsidP="00AA2306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before="162" w:after="0" w:line="240" w:lineRule="auto"/>
        <w:ind w:right="155"/>
        <w:jc w:val="both"/>
        <w:rPr>
          <w:rFonts w:ascii="Calibri" w:eastAsia="Calibri" w:hAnsi="Calibri" w:cs="Calibri"/>
          <w:sz w:val="24"/>
          <w:lang w:bidi="en-US"/>
        </w:rPr>
      </w:pPr>
      <w:r w:rsidRPr="00AA2306">
        <w:rPr>
          <w:rFonts w:ascii="Calibri" w:eastAsia="Calibri" w:hAnsi="Calibri" w:cs="Calibri"/>
          <w:sz w:val="24"/>
          <w:lang w:bidi="en-US"/>
        </w:rPr>
        <w:t>Where sleeping units are excluded from lighting power calculations by application of Section</w:t>
      </w:r>
      <w:r w:rsidRPr="00AA2306">
        <w:rPr>
          <w:rFonts w:ascii="Calibri" w:eastAsia="Calibri" w:hAnsi="Calibri" w:cs="Calibri"/>
          <w:sz w:val="24"/>
          <w:shd w:val="clear" w:color="auto" w:fill="FFFF00"/>
          <w:lang w:bidi="en-US"/>
        </w:rPr>
        <w:t xml:space="preserve"> R40</w:t>
      </w:r>
      <w:r w:rsidRPr="00AA2306">
        <w:rPr>
          <w:rFonts w:ascii="Calibri" w:eastAsia="Calibri" w:hAnsi="Calibri" w:cs="Calibri"/>
          <w:sz w:val="24"/>
          <w:u w:val="single"/>
          <w:shd w:val="clear" w:color="auto" w:fill="FFFF00"/>
          <w:lang w:bidi="en-US"/>
        </w:rPr>
        <w:t>4</w:t>
      </w:r>
      <w:r w:rsidRPr="00AA2306">
        <w:rPr>
          <w:rFonts w:ascii="Calibri" w:eastAsia="Calibri" w:hAnsi="Calibri" w:cs="Calibri"/>
          <w:strike/>
          <w:sz w:val="24"/>
          <w:shd w:val="clear" w:color="auto" w:fill="FFFF00"/>
          <w:lang w:bidi="en-US"/>
        </w:rPr>
        <w:t>5</w:t>
      </w:r>
      <w:r w:rsidRPr="00AA2306">
        <w:rPr>
          <w:rFonts w:ascii="Calibri" w:eastAsia="Calibri" w:hAnsi="Calibri" w:cs="Calibri"/>
          <w:sz w:val="24"/>
          <w:shd w:val="clear" w:color="auto" w:fill="FFFF00"/>
          <w:lang w:bidi="en-US"/>
        </w:rPr>
        <w:t>.1</w:t>
      </w:r>
      <w:r w:rsidRPr="00AA2306">
        <w:rPr>
          <w:rFonts w:ascii="Calibri" w:eastAsia="Calibri" w:hAnsi="Calibri" w:cs="Calibri"/>
          <w:sz w:val="24"/>
          <w:lang w:bidi="en-US"/>
        </w:rPr>
        <w:t>, neither the area of the sleeping units nor the wattage of lighting in the sleeping units is counted.</w:t>
      </w:r>
    </w:p>
    <w:p w:rsidR="00AA2306" w:rsidRPr="00AA2306" w:rsidRDefault="00AA2306" w:rsidP="00AA230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:rsidR="00AA2306" w:rsidRPr="00AA2306" w:rsidRDefault="00AA2306" w:rsidP="00AA2306">
      <w:pPr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after="0" w:line="240" w:lineRule="auto"/>
        <w:ind w:right="130"/>
        <w:jc w:val="both"/>
        <w:rPr>
          <w:rFonts w:ascii="Calibri" w:eastAsia="Calibri" w:hAnsi="Calibri" w:cs="Calibri"/>
          <w:sz w:val="24"/>
          <w:lang w:bidi="en-US"/>
        </w:rPr>
      </w:pPr>
      <w:r w:rsidRPr="00AA2306">
        <w:rPr>
          <w:rFonts w:ascii="Calibri" w:eastAsia="Calibri" w:hAnsi="Calibri" w:cs="Calibri"/>
          <w:sz w:val="24"/>
          <w:lang w:bidi="en-US"/>
        </w:rPr>
        <w:t>Where dwelling units are excluded from lighting power calculations by application of Section</w:t>
      </w:r>
      <w:r w:rsidRPr="00AA2306">
        <w:rPr>
          <w:rFonts w:ascii="Calibri" w:eastAsia="Calibri" w:hAnsi="Calibri" w:cs="Calibri"/>
          <w:sz w:val="24"/>
          <w:shd w:val="clear" w:color="auto" w:fill="FFFF00"/>
          <w:lang w:bidi="en-US"/>
        </w:rPr>
        <w:t xml:space="preserve"> R40</w:t>
      </w:r>
      <w:r w:rsidRPr="00AA2306">
        <w:rPr>
          <w:rFonts w:ascii="Calibri" w:eastAsia="Calibri" w:hAnsi="Calibri" w:cs="Calibri"/>
          <w:sz w:val="24"/>
          <w:u w:val="single"/>
          <w:shd w:val="clear" w:color="auto" w:fill="FFFF00"/>
          <w:lang w:bidi="en-US"/>
        </w:rPr>
        <w:t>4</w:t>
      </w:r>
      <w:r w:rsidRPr="00AA2306">
        <w:rPr>
          <w:rFonts w:ascii="Calibri" w:eastAsia="Calibri" w:hAnsi="Calibri" w:cs="Calibri"/>
          <w:strike/>
          <w:sz w:val="24"/>
          <w:shd w:val="clear" w:color="auto" w:fill="FFFF00"/>
          <w:lang w:bidi="en-US"/>
        </w:rPr>
        <w:t>5</w:t>
      </w:r>
      <w:r w:rsidRPr="00AA2306">
        <w:rPr>
          <w:rFonts w:ascii="Calibri" w:eastAsia="Calibri" w:hAnsi="Calibri" w:cs="Calibri"/>
          <w:sz w:val="24"/>
          <w:shd w:val="clear" w:color="auto" w:fill="FFFF00"/>
          <w:lang w:bidi="en-US"/>
        </w:rPr>
        <w:t>.1</w:t>
      </w:r>
      <w:r w:rsidRPr="00AA2306">
        <w:rPr>
          <w:rFonts w:ascii="Calibri" w:eastAsia="Calibri" w:hAnsi="Calibri" w:cs="Calibri"/>
          <w:sz w:val="24"/>
          <w:lang w:bidi="en-US"/>
        </w:rPr>
        <w:t>, neither the area of the dwelling units nor the wattage of lighting in the dwelling units is counted.</w:t>
      </w:r>
    </w:p>
    <w:p w:rsidR="00AA2306" w:rsidRPr="00AA2306" w:rsidRDefault="00AA2306" w:rsidP="00AA2306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8"/>
          <w:szCs w:val="24"/>
          <w:lang w:bidi="en-US"/>
        </w:rPr>
      </w:pPr>
    </w:p>
    <w:p w:rsidR="00200B0A" w:rsidRPr="00200B0A" w:rsidRDefault="00200B0A" w:rsidP="00200B0A">
      <w:pPr>
        <w:widowControl w:val="0"/>
        <w:autoSpaceDE w:val="0"/>
        <w:autoSpaceDN w:val="0"/>
        <w:spacing w:after="0" w:line="240" w:lineRule="auto"/>
        <w:ind w:left="196" w:right="116"/>
        <w:jc w:val="center"/>
        <w:rPr>
          <w:rFonts w:ascii="Arial" w:eastAsia="Calibri" w:hAnsi="Calibri" w:cs="Calibri"/>
          <w:sz w:val="24"/>
          <w:szCs w:val="24"/>
          <w:lang w:bidi="en-US"/>
        </w:rPr>
      </w:pPr>
      <w:r w:rsidRPr="00200B0A">
        <w:rPr>
          <w:rFonts w:ascii="Arial" w:eastAsia="Calibri" w:hAnsi="Calibri" w:cs="Calibri"/>
          <w:sz w:val="24"/>
          <w:szCs w:val="24"/>
          <w:lang w:bidi="en-US"/>
        </w:rPr>
        <w:t xml:space="preserve">TABLE </w:t>
      </w:r>
      <w:proofErr w:type="gramStart"/>
      <w:r w:rsidRPr="00200B0A">
        <w:rPr>
          <w:rFonts w:ascii="Arial" w:eastAsia="Calibri" w:hAnsi="Calibri" w:cs="Calibri"/>
          <w:sz w:val="24"/>
          <w:szCs w:val="24"/>
          <w:lang w:bidi="en-US"/>
        </w:rPr>
        <w:t>C405.4.2(</w:t>
      </w:r>
      <w:proofErr w:type="gramEnd"/>
      <w:r w:rsidRPr="00200B0A">
        <w:rPr>
          <w:rFonts w:ascii="Arial" w:eastAsia="Calibri" w:hAnsi="Calibri" w:cs="Calibri"/>
          <w:sz w:val="24"/>
          <w:szCs w:val="24"/>
          <w:lang w:bidi="en-US"/>
        </w:rPr>
        <w:t>2) INTERIOR LIGHTING POWER ALLOWANCES: SPACE-BY- SPACE METHOD</w:t>
      </w:r>
    </w:p>
    <w:p w:rsidR="00200B0A" w:rsidRPr="00200B0A" w:rsidRDefault="00200B0A" w:rsidP="00200B0A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Calibri" w:cs="Calibri"/>
          <w:sz w:val="26"/>
          <w:szCs w:val="24"/>
          <w:lang w:bidi="en-US"/>
        </w:rPr>
      </w:pPr>
    </w:p>
    <w:p w:rsidR="00200B0A" w:rsidRPr="00200B0A" w:rsidRDefault="00200B0A" w:rsidP="00200B0A">
      <w:pPr>
        <w:widowControl w:val="0"/>
        <w:autoSpaceDE w:val="0"/>
        <w:autoSpaceDN w:val="0"/>
        <w:spacing w:after="0" w:line="256" w:lineRule="auto"/>
        <w:ind w:left="196" w:right="115"/>
        <w:jc w:val="center"/>
        <w:rPr>
          <w:rFonts w:ascii="Calibri" w:eastAsia="Calibri" w:hAnsi="Calibri" w:cs="Calibri"/>
          <w:sz w:val="24"/>
          <w:szCs w:val="24"/>
          <w:lang w:bidi="en-US"/>
        </w:rPr>
      </w:pPr>
      <w:r w:rsidRPr="00200B0A">
        <w:rPr>
          <w:rFonts w:ascii="Calibri" w:eastAsia="Calibri" w:hAnsi="Calibri" w:cs="Calibri"/>
          <w:sz w:val="24"/>
          <w:szCs w:val="24"/>
          <w:lang w:bidi="en-US"/>
        </w:rPr>
        <w:t>[No changes to table or footnotes except footnotes “c” and “d” as highlighted (starting from 2020 Energy Conservation Supplement):]</w:t>
      </w:r>
    </w:p>
    <w:p w:rsidR="00200B0A" w:rsidRPr="00200B0A" w:rsidRDefault="00200B0A" w:rsidP="00200B0A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65" w:after="0" w:line="259" w:lineRule="auto"/>
        <w:ind w:right="169"/>
        <w:jc w:val="both"/>
        <w:rPr>
          <w:rFonts w:ascii="Calibri" w:eastAsia="Calibri" w:hAnsi="Calibri" w:cs="Calibri"/>
          <w:sz w:val="24"/>
          <w:lang w:bidi="en-US"/>
        </w:rPr>
      </w:pPr>
      <w:r w:rsidRPr="00200B0A">
        <w:rPr>
          <w:rFonts w:ascii="Calibri" w:eastAsia="Calibri" w:hAnsi="Calibri" w:cs="Calibri"/>
          <w:sz w:val="24"/>
          <w:lang w:bidi="en-US"/>
        </w:rPr>
        <w:t>Where sleeping units are excluded from lighting power calculations by application of Section</w:t>
      </w:r>
      <w:r w:rsidRPr="00200B0A">
        <w:rPr>
          <w:rFonts w:ascii="Calibri" w:eastAsia="Calibri" w:hAnsi="Calibri" w:cs="Calibri"/>
          <w:sz w:val="24"/>
          <w:shd w:val="clear" w:color="auto" w:fill="FFFF00"/>
          <w:lang w:bidi="en-US"/>
        </w:rPr>
        <w:t xml:space="preserve"> R40</w:t>
      </w:r>
      <w:r w:rsidRPr="00200B0A">
        <w:rPr>
          <w:rFonts w:ascii="Calibri" w:eastAsia="Calibri" w:hAnsi="Calibri" w:cs="Calibri"/>
          <w:sz w:val="24"/>
          <w:u w:val="single"/>
          <w:shd w:val="clear" w:color="auto" w:fill="FFFF00"/>
          <w:lang w:bidi="en-US"/>
        </w:rPr>
        <w:t>4</w:t>
      </w:r>
      <w:r w:rsidRPr="00200B0A">
        <w:rPr>
          <w:rFonts w:ascii="Calibri" w:eastAsia="Calibri" w:hAnsi="Calibri" w:cs="Calibri"/>
          <w:strike/>
          <w:sz w:val="24"/>
          <w:shd w:val="clear" w:color="auto" w:fill="FFFF00"/>
          <w:lang w:bidi="en-US"/>
        </w:rPr>
        <w:t>5</w:t>
      </w:r>
      <w:r w:rsidRPr="00200B0A">
        <w:rPr>
          <w:rFonts w:ascii="Calibri" w:eastAsia="Calibri" w:hAnsi="Calibri" w:cs="Calibri"/>
          <w:sz w:val="24"/>
          <w:shd w:val="clear" w:color="auto" w:fill="FFFF00"/>
          <w:lang w:bidi="en-US"/>
        </w:rPr>
        <w:t>.1</w:t>
      </w:r>
      <w:r w:rsidRPr="00200B0A">
        <w:rPr>
          <w:rFonts w:ascii="Calibri" w:eastAsia="Calibri" w:hAnsi="Calibri" w:cs="Calibri"/>
          <w:sz w:val="24"/>
          <w:lang w:bidi="en-US"/>
        </w:rPr>
        <w:t>, neither the area of the sleeping units nor the wattage of lighting in the sleeping units is counted.</w:t>
      </w:r>
    </w:p>
    <w:p w:rsidR="00200B0A" w:rsidRPr="00200B0A" w:rsidRDefault="00200B0A" w:rsidP="00200B0A">
      <w:pPr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before="159" w:after="0" w:line="259" w:lineRule="auto"/>
        <w:ind w:right="130"/>
        <w:jc w:val="both"/>
        <w:rPr>
          <w:rFonts w:ascii="Calibri" w:eastAsia="Calibri" w:hAnsi="Calibri" w:cs="Calibri"/>
          <w:sz w:val="24"/>
          <w:lang w:bidi="en-US"/>
        </w:rPr>
      </w:pPr>
      <w:r w:rsidRPr="00200B0A">
        <w:rPr>
          <w:rFonts w:ascii="Calibri" w:eastAsia="Calibri" w:hAnsi="Calibri" w:cs="Calibri"/>
          <w:sz w:val="24"/>
          <w:lang w:bidi="en-US"/>
        </w:rPr>
        <w:t>Where dwelling units are excluded from lighting power calculations by application of Section</w:t>
      </w:r>
      <w:r w:rsidRPr="00200B0A">
        <w:rPr>
          <w:rFonts w:ascii="Calibri" w:eastAsia="Calibri" w:hAnsi="Calibri" w:cs="Calibri"/>
          <w:sz w:val="24"/>
          <w:shd w:val="clear" w:color="auto" w:fill="FFFF00"/>
          <w:lang w:bidi="en-US"/>
        </w:rPr>
        <w:t xml:space="preserve"> R40</w:t>
      </w:r>
      <w:r w:rsidRPr="00200B0A">
        <w:rPr>
          <w:rFonts w:ascii="Calibri" w:eastAsia="Calibri" w:hAnsi="Calibri" w:cs="Calibri"/>
          <w:sz w:val="24"/>
          <w:u w:val="single"/>
          <w:shd w:val="clear" w:color="auto" w:fill="FFFF00"/>
          <w:lang w:bidi="en-US"/>
        </w:rPr>
        <w:t>4</w:t>
      </w:r>
      <w:r w:rsidRPr="00200B0A">
        <w:rPr>
          <w:rFonts w:ascii="Calibri" w:eastAsia="Calibri" w:hAnsi="Calibri" w:cs="Calibri"/>
          <w:strike/>
          <w:sz w:val="24"/>
          <w:shd w:val="clear" w:color="auto" w:fill="FFFF00"/>
          <w:lang w:bidi="en-US"/>
        </w:rPr>
        <w:t>5</w:t>
      </w:r>
      <w:r w:rsidRPr="00200B0A">
        <w:rPr>
          <w:rFonts w:ascii="Calibri" w:eastAsia="Calibri" w:hAnsi="Calibri" w:cs="Calibri"/>
          <w:sz w:val="24"/>
          <w:shd w:val="clear" w:color="auto" w:fill="FFFF00"/>
          <w:lang w:bidi="en-US"/>
        </w:rPr>
        <w:t>.1</w:t>
      </w:r>
      <w:r w:rsidRPr="00200B0A">
        <w:rPr>
          <w:rFonts w:ascii="Calibri" w:eastAsia="Calibri" w:hAnsi="Calibri" w:cs="Calibri"/>
          <w:sz w:val="24"/>
          <w:lang w:bidi="en-US"/>
        </w:rPr>
        <w:t>, neither the area of the dwelling units nor the wattage of lighting in the dwelling units is counted.</w:t>
      </w:r>
    </w:p>
    <w:p w:rsidR="00200B0A" w:rsidRPr="00200B0A" w:rsidRDefault="00200B0A" w:rsidP="00200B0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:rsidR="00200B0A" w:rsidRDefault="00200B0A" w:rsidP="00200B0A">
      <w:pPr>
        <w:spacing w:after="0" w:line="240" w:lineRule="auto"/>
        <w:rPr>
          <w:rFonts w:ascii="Arial" w:eastAsia="Calibri" w:hAnsi="Arial" w:cs="Times New Roman"/>
          <w:color w:val="FF0000"/>
        </w:rPr>
      </w:pPr>
      <w:r w:rsidRPr="00200B0A">
        <w:rPr>
          <w:rFonts w:ascii="Arial" w:eastAsia="Calibri" w:hAnsi="Arial" w:cs="Times New Roman"/>
          <w:color w:val="FF0000"/>
        </w:rPr>
        <w:t>EN-EC-Ch. 4 -Comment #3</w:t>
      </w:r>
    </w:p>
    <w:p w:rsidR="00BC15E1" w:rsidRDefault="00BC15E1" w:rsidP="00200B0A">
      <w:pPr>
        <w:spacing w:after="0" w:line="240" w:lineRule="auto"/>
        <w:rPr>
          <w:rFonts w:ascii="Arial" w:eastAsia="Calibri" w:hAnsi="Arial" w:cs="Times New Roman"/>
          <w:color w:val="FF0000"/>
        </w:rPr>
      </w:pPr>
    </w:p>
    <w:p w:rsidR="00BC15E1" w:rsidRPr="00BC15E1" w:rsidRDefault="00BC15E1" w:rsidP="00BC15E1">
      <w:pPr>
        <w:spacing w:after="0"/>
        <w:rPr>
          <w:rFonts w:ascii="Arial" w:eastAsia="Times New Roman" w:hAnsi="Arial" w:cs="Times New Roman"/>
          <w:szCs w:val="20"/>
        </w:rPr>
      </w:pPr>
      <w:proofErr w:type="gramStart"/>
      <w:r w:rsidRPr="00BC15E1">
        <w:rPr>
          <w:rFonts w:ascii="Arial" w:eastAsia="Times New Roman" w:hAnsi="Arial" w:cs="Times New Roman"/>
          <w:b/>
          <w:szCs w:val="20"/>
        </w:rPr>
        <w:t>C406.7.1 Load fraction.</w:t>
      </w:r>
      <w:proofErr w:type="gramEnd"/>
      <w:r w:rsidRPr="00BC15E1">
        <w:rPr>
          <w:rFonts w:ascii="Arial" w:eastAsia="Times New Roman" w:hAnsi="Arial" w:cs="Times New Roman"/>
          <w:b/>
          <w:szCs w:val="20"/>
        </w:rPr>
        <w:t xml:space="preserve"> </w:t>
      </w:r>
      <w:r w:rsidRPr="00BC15E1">
        <w:rPr>
          <w:rFonts w:ascii="Arial" w:eastAsia="Times New Roman" w:hAnsi="Arial" w:cs="Times New Roman"/>
          <w:szCs w:val="20"/>
        </w:rPr>
        <w:t xml:space="preserve">The building service water-heating system shall have one or more of the following that are sized to provide not less than 60 percent of </w:t>
      </w:r>
      <w:r w:rsidRPr="00BC15E1">
        <w:rPr>
          <w:rFonts w:ascii="Arial" w:eastAsia="Times New Roman" w:hAnsi="Arial" w:cs="Times New Roman"/>
          <w:szCs w:val="20"/>
          <w:u w:val="single"/>
        </w:rPr>
        <w:t xml:space="preserve">the building's annual </w:t>
      </w:r>
      <w:r w:rsidRPr="00BC15E1">
        <w:rPr>
          <w:rFonts w:ascii="Arial" w:eastAsia="Times New Roman" w:hAnsi="Arial" w:cs="Times New Roman"/>
          <w:szCs w:val="20"/>
        </w:rPr>
        <w:t>hot water requirements, or sized to provide 100 percent of</w:t>
      </w:r>
      <w:r w:rsidRPr="00BC15E1">
        <w:rPr>
          <w:rFonts w:ascii="Arial" w:eastAsia="Times New Roman" w:hAnsi="Arial" w:cs="Times New Roman"/>
          <w:szCs w:val="20"/>
          <w:u w:val="single"/>
        </w:rPr>
        <w:t xml:space="preserve"> the building's annual</w:t>
      </w:r>
      <w:r w:rsidRPr="00BC15E1">
        <w:rPr>
          <w:rFonts w:ascii="Arial" w:eastAsia="Times New Roman" w:hAnsi="Arial" w:cs="Times New Roman"/>
          <w:szCs w:val="20"/>
        </w:rPr>
        <w:t xml:space="preserve"> hot water requirements if the building shall otherwise comply with Section C403.4.5.</w:t>
      </w:r>
    </w:p>
    <w:p w:rsidR="00BC15E1" w:rsidRPr="00BC15E1" w:rsidRDefault="00BC15E1" w:rsidP="00BC15E1">
      <w:pPr>
        <w:spacing w:after="0"/>
        <w:rPr>
          <w:rFonts w:ascii="Arial" w:eastAsia="Times New Roman" w:hAnsi="Arial" w:cs="Times New Roman"/>
          <w:szCs w:val="20"/>
        </w:rPr>
      </w:pPr>
    </w:p>
    <w:p w:rsidR="00BC15E1" w:rsidRPr="00BC15E1" w:rsidRDefault="00BC15E1" w:rsidP="00BC15E1">
      <w:pPr>
        <w:spacing w:after="0"/>
        <w:rPr>
          <w:rFonts w:ascii="Arial" w:eastAsia="Times New Roman" w:hAnsi="Arial" w:cs="Times New Roman"/>
          <w:szCs w:val="20"/>
        </w:rPr>
      </w:pPr>
    </w:p>
    <w:p w:rsidR="00BC15E1" w:rsidRPr="00BC15E1" w:rsidRDefault="00BC15E1" w:rsidP="00BC15E1">
      <w:pPr>
        <w:spacing w:after="0"/>
        <w:ind w:left="720"/>
        <w:rPr>
          <w:rFonts w:ascii="Arial" w:eastAsia="Times New Roman" w:hAnsi="Arial" w:cs="Times New Roman"/>
          <w:szCs w:val="20"/>
        </w:rPr>
      </w:pPr>
      <w:r w:rsidRPr="00BC15E1">
        <w:rPr>
          <w:rFonts w:ascii="Arial" w:eastAsia="Times New Roman" w:hAnsi="Arial" w:cs="Times New Roman"/>
          <w:szCs w:val="20"/>
        </w:rPr>
        <w:t xml:space="preserve">1. Waste heat recovery from service hot water, heat- recovery chillers, building equipment, </w:t>
      </w:r>
      <w:r w:rsidRPr="00BC15E1">
        <w:rPr>
          <w:rFonts w:ascii="Arial" w:eastAsia="Times New Roman" w:hAnsi="Arial" w:cs="Times New Roman"/>
          <w:szCs w:val="20"/>
          <w:highlight w:val="yellow"/>
        </w:rPr>
        <w:t>or</w:t>
      </w:r>
      <w:r w:rsidRPr="00BC15E1">
        <w:rPr>
          <w:rFonts w:ascii="Arial" w:eastAsia="Times New Roman" w:hAnsi="Arial" w:cs="Times New Roman"/>
          <w:szCs w:val="20"/>
        </w:rPr>
        <w:t xml:space="preserve"> process equipment, </w:t>
      </w:r>
      <w:r w:rsidRPr="00BC15E1">
        <w:rPr>
          <w:rFonts w:ascii="Arial" w:eastAsia="Times New Roman" w:hAnsi="Arial" w:cs="Times New Roman"/>
          <w:szCs w:val="20"/>
          <w:highlight w:val="yellow"/>
        </w:rPr>
        <w:t>or a combined heat and power system</w:t>
      </w:r>
      <w:r w:rsidRPr="00BC15E1">
        <w:rPr>
          <w:rFonts w:ascii="Arial" w:eastAsia="Times New Roman" w:hAnsi="Arial" w:cs="Times New Roman"/>
          <w:szCs w:val="20"/>
        </w:rPr>
        <w:t>.</w:t>
      </w:r>
    </w:p>
    <w:p w:rsidR="00BC15E1" w:rsidRPr="00BC15E1" w:rsidRDefault="00BC15E1" w:rsidP="00BC15E1">
      <w:pPr>
        <w:spacing w:after="0"/>
        <w:ind w:firstLine="720"/>
        <w:rPr>
          <w:rFonts w:ascii="Arial" w:eastAsia="Times New Roman" w:hAnsi="Arial" w:cs="Times New Roman"/>
          <w:szCs w:val="20"/>
        </w:rPr>
      </w:pPr>
      <w:r w:rsidRPr="00BC15E1">
        <w:rPr>
          <w:rFonts w:ascii="Arial" w:eastAsia="Times New Roman" w:hAnsi="Arial" w:cs="Times New Roman"/>
          <w:szCs w:val="20"/>
        </w:rPr>
        <w:t xml:space="preserve">2. Solar </w:t>
      </w:r>
      <w:r w:rsidRPr="00BC15E1">
        <w:rPr>
          <w:rFonts w:ascii="Arial" w:eastAsia="Times New Roman" w:hAnsi="Arial" w:cs="Times New Roman"/>
          <w:i/>
          <w:szCs w:val="20"/>
          <w:u w:val="single"/>
        </w:rPr>
        <w:t>On site renewable energy</w:t>
      </w:r>
      <w:r w:rsidRPr="00BC15E1">
        <w:rPr>
          <w:rFonts w:ascii="Arial" w:eastAsia="Times New Roman" w:hAnsi="Arial" w:cs="Times New Roman"/>
          <w:i/>
          <w:szCs w:val="20"/>
        </w:rPr>
        <w:t xml:space="preserve"> </w:t>
      </w:r>
      <w:r w:rsidRPr="00BC15E1">
        <w:rPr>
          <w:rFonts w:ascii="Arial" w:eastAsia="Times New Roman" w:hAnsi="Arial" w:cs="Times New Roman"/>
          <w:szCs w:val="20"/>
        </w:rPr>
        <w:t>water-heating systems</w:t>
      </w:r>
    </w:p>
    <w:p w:rsidR="00BC15E1" w:rsidRPr="00BC15E1" w:rsidRDefault="00BC15E1" w:rsidP="00BC15E1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B623A6" w:rsidRPr="00B623A6" w:rsidRDefault="00B623A6" w:rsidP="00B623A6">
      <w:pPr>
        <w:spacing w:after="0" w:line="240" w:lineRule="auto"/>
        <w:rPr>
          <w:rFonts w:ascii="Arial" w:eastAsia="Calibri" w:hAnsi="Arial" w:cs="Times New Roman"/>
          <w:color w:val="FF0000"/>
        </w:rPr>
      </w:pPr>
      <w:r w:rsidRPr="00B623A6">
        <w:rPr>
          <w:rFonts w:ascii="Arial" w:eastAsia="Calibri" w:hAnsi="Arial" w:cs="Times New Roman"/>
          <w:color w:val="FF0000"/>
        </w:rPr>
        <w:t>EN-EC-Ch. 4 -Comment #5</w:t>
      </w:r>
    </w:p>
    <w:p w:rsidR="00B623A6" w:rsidRPr="00200B0A" w:rsidRDefault="00B623A6" w:rsidP="00200B0A">
      <w:pPr>
        <w:spacing w:after="0" w:line="240" w:lineRule="auto"/>
        <w:rPr>
          <w:rFonts w:ascii="Arial" w:eastAsia="Calibri" w:hAnsi="Arial" w:cs="Times New Roman"/>
          <w:color w:val="FF0000"/>
        </w:rPr>
      </w:pPr>
    </w:p>
    <w:p w:rsidR="00AA2306" w:rsidRDefault="00AA2306" w:rsidP="000A3B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623A6" w:rsidRDefault="00B623A6" w:rsidP="00B623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  <w:u w:val="single"/>
        </w:rPr>
      </w:pPr>
      <w:r w:rsidRPr="00E135D1">
        <w:rPr>
          <w:rFonts w:ascii="Helvetica-Bold" w:hAnsi="Helvetica-Bold" w:cs="Helvetica-Bold"/>
          <w:bCs/>
          <w:sz w:val="24"/>
          <w:szCs w:val="24"/>
          <w:u w:val="single"/>
        </w:rPr>
        <w:t>CHAPTER 6 [RE] REFERENCED STANDARDS</w:t>
      </w:r>
    </w:p>
    <w:p w:rsidR="00200B0A" w:rsidRDefault="00200B0A" w:rsidP="000A3B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623A6" w:rsidRDefault="00B623A6" w:rsidP="00B623A6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</w:rPr>
      </w:pPr>
      <w:r>
        <w:rPr>
          <w:rFonts w:ascii="Times-Roman" w:hAnsi="Times-Roman" w:cs="Times-Roman"/>
          <w:sz w:val="16"/>
          <w:szCs w:val="16"/>
        </w:rPr>
        <w:t>ASHRAE</w:t>
      </w:r>
    </w:p>
    <w:p w:rsidR="00B623A6" w:rsidRDefault="00B623A6" w:rsidP="00B623A6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</w:rPr>
      </w:pPr>
    </w:p>
    <w:p w:rsidR="00B623A6" w:rsidRPr="00B623A6" w:rsidRDefault="00B623A6" w:rsidP="00B623A6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</w:rPr>
      </w:pPr>
      <w:r w:rsidRPr="00B623A6">
        <w:rPr>
          <w:rFonts w:ascii="Arial" w:eastAsia="Times New Roman" w:hAnsi="Arial" w:cs="Arial"/>
          <w:snapToGrid w:val="0"/>
          <w:sz w:val="18"/>
          <w:szCs w:val="18"/>
        </w:rPr>
        <w:t>ANSI/ASHRAE/IESNA</w:t>
      </w:r>
    </w:p>
    <w:p w:rsidR="00B623A6" w:rsidRPr="00B623A6" w:rsidRDefault="00B623A6" w:rsidP="00B623A6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</w:rPr>
      </w:pPr>
      <w:r w:rsidRPr="00B623A6">
        <w:rPr>
          <w:rFonts w:ascii="Arial" w:eastAsia="Times New Roman" w:hAnsi="Arial" w:cs="Arial"/>
          <w:snapToGrid w:val="0"/>
          <w:sz w:val="18"/>
          <w:szCs w:val="18"/>
        </w:rPr>
        <w:t xml:space="preserve">90.1—2016 Energy Standard for Buildings </w:t>
      </w:r>
      <w:proofErr w:type="gramStart"/>
      <w:r w:rsidRPr="00B623A6">
        <w:rPr>
          <w:rFonts w:ascii="Arial" w:eastAsia="Times New Roman" w:hAnsi="Arial" w:cs="Arial"/>
          <w:snapToGrid w:val="0"/>
          <w:sz w:val="18"/>
          <w:szCs w:val="18"/>
        </w:rPr>
        <w:t>Except</w:t>
      </w:r>
      <w:proofErr w:type="gramEnd"/>
      <w:r w:rsidRPr="00B623A6">
        <w:rPr>
          <w:rFonts w:ascii="Arial" w:eastAsia="Times New Roman" w:hAnsi="Arial" w:cs="Arial"/>
          <w:snapToGrid w:val="0"/>
          <w:sz w:val="18"/>
          <w:szCs w:val="18"/>
        </w:rPr>
        <w:t xml:space="preserve"> Low-rise Residential Buildings,</w:t>
      </w:r>
    </w:p>
    <w:p w:rsidR="00B623A6" w:rsidRPr="00B623A6" w:rsidRDefault="00B623A6" w:rsidP="00B623A6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u w:val="single"/>
        </w:rPr>
      </w:pPr>
      <w:proofErr w:type="gramStart"/>
      <w:r w:rsidRPr="00B623A6">
        <w:rPr>
          <w:rFonts w:ascii="Arial" w:eastAsia="Times New Roman" w:hAnsi="Arial" w:cs="Arial"/>
          <w:snapToGrid w:val="0"/>
          <w:sz w:val="18"/>
          <w:szCs w:val="18"/>
        </w:rPr>
        <w:t>excluding</w:t>
      </w:r>
      <w:proofErr w:type="gramEnd"/>
      <w:r w:rsidRPr="00B623A6">
        <w:rPr>
          <w:rFonts w:ascii="Arial" w:eastAsia="Times New Roman" w:hAnsi="Arial" w:cs="Arial"/>
          <w:snapToGrid w:val="0"/>
          <w:sz w:val="18"/>
          <w:szCs w:val="18"/>
        </w:rPr>
        <w:t xml:space="preserve"> section 9.4.1.1(g)</w:t>
      </w:r>
      <w:r w:rsidRPr="00B623A6">
        <w:rPr>
          <w:rFonts w:ascii="Arial" w:eastAsia="Times New Roman" w:hAnsi="Arial" w:cs="Arial"/>
          <w:snapToGrid w:val="0"/>
          <w:sz w:val="18"/>
          <w:szCs w:val="18"/>
          <w:u w:val="single"/>
        </w:rPr>
        <w:t xml:space="preserve"> 8.4.2, and 8.4.3</w:t>
      </w:r>
      <w:r w:rsidRPr="00B623A6">
        <w:rPr>
          <w:rFonts w:ascii="Arial" w:eastAsia="Times New Roman" w:hAnsi="Arial" w:cs="Arial"/>
          <w:snapToGrid w:val="0"/>
          <w:sz w:val="18"/>
          <w:szCs w:val="18"/>
        </w:rPr>
        <w:t xml:space="preserve">. . . . . . . . . . . . . . . . . . . </w:t>
      </w:r>
      <w:proofErr w:type="gramStart"/>
      <w:r w:rsidRPr="00B623A6">
        <w:rPr>
          <w:rFonts w:ascii="Arial" w:eastAsia="Times New Roman" w:hAnsi="Arial" w:cs="Arial"/>
          <w:snapToGrid w:val="0"/>
          <w:sz w:val="18"/>
          <w:szCs w:val="18"/>
        </w:rPr>
        <w:t>.C304.1,1</w:t>
      </w:r>
      <w:proofErr w:type="gramEnd"/>
      <w:r w:rsidRPr="00B623A6">
        <w:rPr>
          <w:rFonts w:ascii="Arial" w:eastAsia="Times New Roman" w:hAnsi="Arial" w:cs="Arial"/>
          <w:snapToGrid w:val="0"/>
          <w:sz w:val="18"/>
          <w:szCs w:val="18"/>
        </w:rPr>
        <w:t xml:space="preserve">, C304.3.1.4, C304.3.2.1, </w:t>
      </w:r>
      <w:r w:rsidRPr="00B623A6">
        <w:rPr>
          <w:rFonts w:ascii="Arial" w:eastAsia="Times New Roman" w:hAnsi="Arial" w:cs="Arial"/>
          <w:snapToGrid w:val="0"/>
          <w:sz w:val="18"/>
          <w:szCs w:val="18"/>
          <w:u w:val="single"/>
        </w:rPr>
        <w:t>C405.6.1.</w:t>
      </w:r>
    </w:p>
    <w:p w:rsidR="00B623A6" w:rsidRDefault="00B623A6" w:rsidP="00B623A6">
      <w:pPr>
        <w:spacing w:after="0" w:line="240" w:lineRule="auto"/>
        <w:rPr>
          <w:rFonts w:ascii="Arial" w:eastAsia="Calibri" w:hAnsi="Arial" w:cs="Times New Roman"/>
          <w:b/>
          <w:color w:val="FF0000"/>
          <w:u w:val="single"/>
        </w:rPr>
      </w:pPr>
    </w:p>
    <w:p w:rsidR="00B623A6" w:rsidRPr="00B623A6" w:rsidRDefault="00B623A6" w:rsidP="00B623A6">
      <w:pPr>
        <w:spacing w:after="0" w:line="240" w:lineRule="auto"/>
        <w:rPr>
          <w:rFonts w:ascii="Arial" w:eastAsia="Calibri" w:hAnsi="Arial" w:cs="Times New Roman"/>
          <w:color w:val="FF0000"/>
        </w:rPr>
      </w:pPr>
      <w:r w:rsidRPr="00B623A6">
        <w:rPr>
          <w:rFonts w:ascii="Arial" w:eastAsia="Calibri" w:hAnsi="Arial" w:cs="Times New Roman"/>
          <w:color w:val="FF0000"/>
        </w:rPr>
        <w:t>EN/E-EC-Ch. 4 - Comment #4</w:t>
      </w:r>
    </w:p>
    <w:p w:rsidR="00B623A6" w:rsidRDefault="00B623A6" w:rsidP="000A3B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623A6" w:rsidRPr="00AA2306" w:rsidRDefault="00B623A6" w:rsidP="000A3B4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B623A6" w:rsidRPr="00AA2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5C5D"/>
    <w:multiLevelType w:val="hybridMultilevel"/>
    <w:tmpl w:val="370E7652"/>
    <w:lvl w:ilvl="0" w:tplc="B1F8F5FC">
      <w:start w:val="1"/>
      <w:numFmt w:val="lowerLetter"/>
      <w:lvlText w:val="%1."/>
      <w:lvlJc w:val="left"/>
      <w:pPr>
        <w:ind w:left="120" w:hanging="231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5F6E9E56">
      <w:numFmt w:val="bullet"/>
      <w:lvlText w:val="•"/>
      <w:lvlJc w:val="left"/>
      <w:pPr>
        <w:ind w:left="1060" w:hanging="231"/>
      </w:pPr>
      <w:rPr>
        <w:rFonts w:hint="default"/>
        <w:lang w:val="en-US" w:eastAsia="en-US" w:bidi="en-US"/>
      </w:rPr>
    </w:lvl>
    <w:lvl w:ilvl="2" w:tplc="D7F8F492">
      <w:numFmt w:val="bullet"/>
      <w:lvlText w:val="•"/>
      <w:lvlJc w:val="left"/>
      <w:pPr>
        <w:ind w:left="2000" w:hanging="231"/>
      </w:pPr>
      <w:rPr>
        <w:rFonts w:hint="default"/>
        <w:lang w:val="en-US" w:eastAsia="en-US" w:bidi="en-US"/>
      </w:rPr>
    </w:lvl>
    <w:lvl w:ilvl="3" w:tplc="33522176">
      <w:numFmt w:val="bullet"/>
      <w:lvlText w:val="•"/>
      <w:lvlJc w:val="left"/>
      <w:pPr>
        <w:ind w:left="2940" w:hanging="231"/>
      </w:pPr>
      <w:rPr>
        <w:rFonts w:hint="default"/>
        <w:lang w:val="en-US" w:eastAsia="en-US" w:bidi="en-US"/>
      </w:rPr>
    </w:lvl>
    <w:lvl w:ilvl="4" w:tplc="30F2FB5C">
      <w:numFmt w:val="bullet"/>
      <w:lvlText w:val="•"/>
      <w:lvlJc w:val="left"/>
      <w:pPr>
        <w:ind w:left="3880" w:hanging="231"/>
      </w:pPr>
      <w:rPr>
        <w:rFonts w:hint="default"/>
        <w:lang w:val="en-US" w:eastAsia="en-US" w:bidi="en-US"/>
      </w:rPr>
    </w:lvl>
    <w:lvl w:ilvl="5" w:tplc="8F42580A">
      <w:numFmt w:val="bullet"/>
      <w:lvlText w:val="•"/>
      <w:lvlJc w:val="left"/>
      <w:pPr>
        <w:ind w:left="4820" w:hanging="231"/>
      </w:pPr>
      <w:rPr>
        <w:rFonts w:hint="default"/>
        <w:lang w:val="en-US" w:eastAsia="en-US" w:bidi="en-US"/>
      </w:rPr>
    </w:lvl>
    <w:lvl w:ilvl="6" w:tplc="D632FAA0">
      <w:numFmt w:val="bullet"/>
      <w:lvlText w:val="•"/>
      <w:lvlJc w:val="left"/>
      <w:pPr>
        <w:ind w:left="5760" w:hanging="231"/>
      </w:pPr>
      <w:rPr>
        <w:rFonts w:hint="default"/>
        <w:lang w:val="en-US" w:eastAsia="en-US" w:bidi="en-US"/>
      </w:rPr>
    </w:lvl>
    <w:lvl w:ilvl="7" w:tplc="6166F1D8">
      <w:numFmt w:val="bullet"/>
      <w:lvlText w:val="•"/>
      <w:lvlJc w:val="left"/>
      <w:pPr>
        <w:ind w:left="6700" w:hanging="231"/>
      </w:pPr>
      <w:rPr>
        <w:rFonts w:hint="default"/>
        <w:lang w:val="en-US" w:eastAsia="en-US" w:bidi="en-US"/>
      </w:rPr>
    </w:lvl>
    <w:lvl w:ilvl="8" w:tplc="9ACE815A">
      <w:numFmt w:val="bullet"/>
      <w:lvlText w:val="•"/>
      <w:lvlJc w:val="left"/>
      <w:pPr>
        <w:ind w:left="7640" w:hanging="23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0A"/>
    <w:rsid w:val="000A3B4D"/>
    <w:rsid w:val="00200B0A"/>
    <w:rsid w:val="0021440A"/>
    <w:rsid w:val="00256D0A"/>
    <w:rsid w:val="00574B80"/>
    <w:rsid w:val="00670715"/>
    <w:rsid w:val="00AA2306"/>
    <w:rsid w:val="00B623A6"/>
    <w:rsid w:val="00B664B1"/>
    <w:rsid w:val="00B82397"/>
    <w:rsid w:val="00BC15E1"/>
    <w:rsid w:val="00E135D1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8663C"/>
    <w:pPr>
      <w:spacing w:after="120" w:line="240" w:lineRule="auto"/>
    </w:pPr>
    <w:rPr>
      <w:rFonts w:ascii="Arial" w:eastAsia="Calibri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663C"/>
    <w:rPr>
      <w:rFonts w:ascii="Arial" w:eastAsia="Calibri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8663C"/>
    <w:pPr>
      <w:spacing w:after="120" w:line="240" w:lineRule="auto"/>
    </w:pPr>
    <w:rPr>
      <w:rFonts w:ascii="Arial" w:eastAsia="Calibri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663C"/>
    <w:rPr>
      <w:rFonts w:ascii="Arial" w:eastAsia="Calibri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6</cp:revision>
  <dcterms:created xsi:type="dcterms:W3CDTF">2020-04-08T17:43:00Z</dcterms:created>
  <dcterms:modified xsi:type="dcterms:W3CDTF">2020-04-09T16:30:00Z</dcterms:modified>
</cp:coreProperties>
</file>